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4F879C53" w:rsidR="00AA6F4D" w:rsidRPr="00BB212B" w:rsidRDefault="00FB7F7C" w:rsidP="0021114E">
      <w:pPr>
        <w:pStyle w:val="LGAItemNoHeading"/>
        <w:spacing w:before="240"/>
        <w:rPr>
          <w:rFonts w:ascii="Arial" w:hAnsi="Arial" w:cs="Arial"/>
          <w:sz w:val="28"/>
          <w:szCs w:val="28"/>
        </w:rPr>
      </w:pPr>
      <w:r>
        <w:rPr>
          <w:rFonts w:ascii="Arial" w:hAnsi="Arial" w:cs="Arial"/>
          <w:sz w:val="28"/>
          <w:szCs w:val="28"/>
        </w:rPr>
        <w:t>2017/18 Local Government Finance Settlement Technical Consultation</w:t>
      </w:r>
    </w:p>
    <w:p w14:paraId="4123E6E1"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3B664CCF" w14:textId="274634F2" w:rsidR="00E40B9D" w:rsidRPr="00E40B9D" w:rsidRDefault="00B162A5" w:rsidP="0021114E">
      <w:pPr>
        <w:pStyle w:val="MainText"/>
        <w:spacing w:line="240" w:lineRule="auto"/>
        <w:rPr>
          <w:rFonts w:ascii="Arial" w:hAnsi="Arial" w:cs="Arial"/>
          <w:szCs w:val="22"/>
        </w:rPr>
      </w:pPr>
      <w:r w:rsidRPr="0021114E">
        <w:rPr>
          <w:rFonts w:ascii="Arial" w:hAnsi="Arial" w:cs="Arial"/>
          <w:szCs w:val="22"/>
        </w:rPr>
        <w:t>For discussion and dire</w:t>
      </w:r>
      <w:r w:rsidR="00E40B9D">
        <w:rPr>
          <w:rFonts w:ascii="Arial" w:hAnsi="Arial" w:cs="Arial"/>
          <w:szCs w:val="22"/>
        </w:rPr>
        <w:t>ction</w:t>
      </w:r>
      <w:r w:rsidR="00540228">
        <w:rPr>
          <w:rFonts w:ascii="Arial" w:hAnsi="Arial" w:cs="Arial"/>
          <w:szCs w:val="22"/>
        </w:rPr>
        <w:t>.</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0648A633" w:rsidR="00A601EC" w:rsidRPr="0021114E" w:rsidRDefault="00B43083" w:rsidP="00B43083">
      <w:pPr>
        <w:pStyle w:val="MainText"/>
        <w:tabs>
          <w:tab w:val="left" w:pos="6603"/>
        </w:tabs>
        <w:spacing w:line="240" w:lineRule="auto"/>
        <w:rPr>
          <w:rFonts w:ascii="Arial" w:hAnsi="Arial" w:cs="Arial"/>
          <w:szCs w:val="22"/>
        </w:rPr>
      </w:pPr>
      <w:r>
        <w:rPr>
          <w:rFonts w:ascii="Arial" w:hAnsi="Arial" w:cs="Arial"/>
          <w:szCs w:val="22"/>
        </w:rPr>
        <w:tab/>
      </w:r>
    </w:p>
    <w:p w14:paraId="1F4C7289" w14:textId="6E21AD21" w:rsidR="00FB7F7C" w:rsidRDefault="0062371F" w:rsidP="004D6E27">
      <w:pPr>
        <w:pStyle w:val="MainText"/>
        <w:spacing w:line="240" w:lineRule="auto"/>
        <w:rPr>
          <w:rFonts w:ascii="Arial" w:hAnsi="Arial" w:cs="Arial"/>
          <w:szCs w:val="22"/>
        </w:rPr>
      </w:pPr>
      <w:r w:rsidRPr="004D6E27">
        <w:rPr>
          <w:rFonts w:ascii="Arial" w:hAnsi="Arial" w:cs="Arial"/>
          <w:szCs w:val="22"/>
        </w:rPr>
        <w:t xml:space="preserve">This </w:t>
      </w:r>
      <w:r w:rsidR="00215CEB" w:rsidRPr="004D6E27">
        <w:rPr>
          <w:rFonts w:ascii="Arial" w:hAnsi="Arial" w:cs="Arial"/>
          <w:szCs w:val="22"/>
        </w:rPr>
        <w:t xml:space="preserve">report provides an </w:t>
      </w:r>
      <w:r w:rsidR="00FB7F7C">
        <w:rPr>
          <w:rFonts w:ascii="Arial" w:hAnsi="Arial" w:cs="Arial"/>
          <w:szCs w:val="22"/>
        </w:rPr>
        <w:t xml:space="preserve">outline of the Department for Communities and Local Government’s (DCLG) technical consultation on the 2017/18 local government finance settlement. The </w:t>
      </w:r>
      <w:r w:rsidR="00EE637C">
        <w:rPr>
          <w:rFonts w:ascii="Arial" w:hAnsi="Arial" w:cs="Arial"/>
          <w:szCs w:val="22"/>
        </w:rPr>
        <w:t>consultation</w:t>
      </w:r>
      <w:r w:rsidR="00FB7F7C">
        <w:rPr>
          <w:rFonts w:ascii="Arial" w:hAnsi="Arial" w:cs="Arial"/>
          <w:szCs w:val="22"/>
        </w:rPr>
        <w:t xml:space="preserve"> sets </w:t>
      </w:r>
      <w:r w:rsidR="00EE637C">
        <w:rPr>
          <w:rFonts w:ascii="Arial" w:hAnsi="Arial" w:cs="Arial"/>
          <w:szCs w:val="22"/>
        </w:rPr>
        <w:t>out</w:t>
      </w:r>
      <w:r w:rsidR="00FB7F7C">
        <w:rPr>
          <w:rFonts w:ascii="Arial" w:hAnsi="Arial" w:cs="Arial"/>
          <w:szCs w:val="22"/>
        </w:rPr>
        <w:t xml:space="preserve"> the </w:t>
      </w:r>
      <w:r w:rsidR="00EE637C">
        <w:rPr>
          <w:rFonts w:ascii="Arial" w:hAnsi="Arial" w:cs="Arial"/>
          <w:szCs w:val="22"/>
        </w:rPr>
        <w:t>Government’s</w:t>
      </w:r>
      <w:r w:rsidR="00FB7F7C">
        <w:rPr>
          <w:rFonts w:ascii="Arial" w:hAnsi="Arial" w:cs="Arial"/>
          <w:szCs w:val="22"/>
        </w:rPr>
        <w:t xml:space="preserve"> proposed approached to the 2017/18 </w:t>
      </w:r>
      <w:r w:rsidR="00EE637C">
        <w:rPr>
          <w:rFonts w:ascii="Arial" w:hAnsi="Arial" w:cs="Arial"/>
          <w:szCs w:val="22"/>
        </w:rPr>
        <w:t>settlement</w:t>
      </w:r>
      <w:r w:rsidR="00FB7F7C">
        <w:rPr>
          <w:rFonts w:ascii="Arial" w:hAnsi="Arial" w:cs="Arial"/>
          <w:szCs w:val="22"/>
        </w:rPr>
        <w:t>, the second year of the four-year offer for local government.</w:t>
      </w:r>
    </w:p>
    <w:p w14:paraId="76341264" w14:textId="77777777" w:rsidR="00FB7F7C" w:rsidRDefault="00FB7F7C" w:rsidP="004D6E27">
      <w:pPr>
        <w:pStyle w:val="MainText"/>
        <w:spacing w:line="240" w:lineRule="auto"/>
        <w:rPr>
          <w:rFonts w:ascii="Arial" w:hAnsi="Arial" w:cs="Arial"/>
          <w:szCs w:val="22"/>
        </w:rPr>
      </w:pPr>
    </w:p>
    <w:p w14:paraId="1401665A" w14:textId="77777777" w:rsidR="00C56860" w:rsidRPr="0021114E" w:rsidRDefault="00C56860" w:rsidP="0021114E">
      <w:pPr>
        <w:pStyle w:val="MainText"/>
        <w:spacing w:line="240" w:lineRule="auto"/>
        <w:rPr>
          <w:rFonts w:ascii="Arial" w:hAnsi="Arial" w:cs="Arial"/>
          <w:szCs w:val="22"/>
        </w:rPr>
      </w:pP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77777777" w:rsidR="000C3360" w:rsidRPr="0021114E" w:rsidRDefault="000C3360" w:rsidP="0021114E">
            <w:pPr>
              <w:pStyle w:val="MainText"/>
              <w:spacing w:line="240" w:lineRule="auto"/>
              <w:rPr>
                <w:rFonts w:ascii="Arial" w:hAnsi="Arial" w:cs="Arial"/>
                <w:b/>
                <w:szCs w:val="22"/>
              </w:rPr>
            </w:pPr>
          </w:p>
          <w:p w14:paraId="47EA32E2"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5FC272DE" w14:textId="77777777" w:rsidR="00373AAF" w:rsidRDefault="00373AAF" w:rsidP="0021114E">
            <w:pPr>
              <w:pStyle w:val="MainText"/>
              <w:spacing w:line="240" w:lineRule="auto"/>
              <w:rPr>
                <w:rFonts w:ascii="Arial" w:hAnsi="Arial" w:cs="Arial"/>
                <w:szCs w:val="22"/>
              </w:rPr>
            </w:pPr>
          </w:p>
          <w:p w14:paraId="73A69973" w14:textId="24E4DE82" w:rsidR="00540228" w:rsidRDefault="007640B3" w:rsidP="00540228">
            <w:pPr>
              <w:pStyle w:val="MainText"/>
              <w:spacing w:line="240" w:lineRule="auto"/>
              <w:rPr>
                <w:rFonts w:ascii="Arial" w:hAnsi="Arial" w:cs="Arial"/>
                <w:szCs w:val="22"/>
              </w:rPr>
            </w:pPr>
            <w:r w:rsidRPr="009B5B7E">
              <w:rPr>
                <w:rFonts w:ascii="Arial" w:hAnsi="Arial" w:cs="Arial"/>
                <w:szCs w:val="22"/>
              </w:rPr>
              <w:t xml:space="preserve">That the </w:t>
            </w:r>
            <w:r>
              <w:rPr>
                <w:rFonts w:ascii="Arial" w:hAnsi="Arial" w:cs="Arial"/>
                <w:szCs w:val="22"/>
              </w:rPr>
              <w:t>Resources Board provide their views on the proposals in the DCLG consultation paper to help inform the LGA’s response to the consultation.</w:t>
            </w:r>
          </w:p>
          <w:p w14:paraId="5959C178" w14:textId="77777777" w:rsidR="00540228" w:rsidRPr="0021114E" w:rsidRDefault="00540228" w:rsidP="00540228">
            <w:pPr>
              <w:pStyle w:val="MainText"/>
              <w:spacing w:line="240" w:lineRule="auto"/>
              <w:rPr>
                <w:rFonts w:ascii="Arial" w:hAnsi="Arial" w:cs="Arial"/>
                <w:szCs w:val="22"/>
              </w:rPr>
            </w:pPr>
          </w:p>
          <w:p w14:paraId="3389A721" w14:textId="77777777" w:rsidR="00215CEB" w:rsidRPr="0021114E" w:rsidRDefault="00215CEB"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21114E" w14:paraId="0A4D465F" w14:textId="77777777" w:rsidTr="008D332D">
        <w:tc>
          <w:tcPr>
            <w:tcW w:w="2802" w:type="dxa"/>
          </w:tcPr>
          <w:p w14:paraId="423F6FB4"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16AD1D64"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Nicola Morton</w:t>
            </w:r>
          </w:p>
        </w:tc>
      </w:tr>
      <w:tr w:rsidR="00C9258A" w:rsidRPr="0021114E" w14:paraId="2CCEFC53" w14:textId="77777777" w:rsidTr="008D332D">
        <w:tc>
          <w:tcPr>
            <w:tcW w:w="2802" w:type="dxa"/>
          </w:tcPr>
          <w:p w14:paraId="51915119"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4EE11AD3" w14:textId="77777777" w:rsidR="00C9258A" w:rsidRPr="0021114E" w:rsidRDefault="00180849" w:rsidP="0021114E">
            <w:pPr>
              <w:pStyle w:val="MainText"/>
              <w:spacing w:before="120" w:line="240" w:lineRule="auto"/>
              <w:rPr>
                <w:rFonts w:ascii="Arial" w:hAnsi="Arial" w:cs="Arial"/>
                <w:szCs w:val="22"/>
              </w:rPr>
            </w:pPr>
            <w:r>
              <w:rPr>
                <w:rFonts w:ascii="Arial" w:hAnsi="Arial" w:cs="Arial"/>
                <w:szCs w:val="22"/>
              </w:rPr>
              <w:t>Head of Programmes: Local Government Finance</w:t>
            </w:r>
          </w:p>
        </w:tc>
      </w:tr>
      <w:tr w:rsidR="00CC0245" w:rsidRPr="0021114E" w14:paraId="1C36D052" w14:textId="77777777" w:rsidTr="008D332D">
        <w:tc>
          <w:tcPr>
            <w:tcW w:w="2802" w:type="dxa"/>
          </w:tcPr>
          <w:p w14:paraId="1BB2D6AB"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6E221C8"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020 7664 3197</w:t>
            </w:r>
          </w:p>
        </w:tc>
      </w:tr>
      <w:tr w:rsidR="00CC0245" w:rsidRPr="0021114E" w14:paraId="534EF34F" w14:textId="77777777" w:rsidTr="006137EA">
        <w:trPr>
          <w:trHeight w:val="507"/>
        </w:trPr>
        <w:tc>
          <w:tcPr>
            <w:tcW w:w="2802" w:type="dxa"/>
          </w:tcPr>
          <w:p w14:paraId="7DE2AB62"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7BD5C762" w14:textId="5EA05A80" w:rsidR="001A07F1" w:rsidRPr="0021114E" w:rsidRDefault="00C17D73" w:rsidP="005F0364">
            <w:pPr>
              <w:pStyle w:val="MainText"/>
              <w:spacing w:before="120" w:line="240" w:lineRule="auto"/>
              <w:rPr>
                <w:rFonts w:ascii="Arial" w:hAnsi="Arial" w:cs="Arial"/>
                <w:szCs w:val="22"/>
              </w:rPr>
            </w:pPr>
            <w:hyperlink r:id="rId11" w:history="1">
              <w:r w:rsidR="00940654" w:rsidRPr="000C41F4">
                <w:rPr>
                  <w:rStyle w:val="Hyperlink"/>
                  <w:rFonts w:ascii="Arial" w:hAnsi="Arial" w:cs="Arial"/>
                  <w:szCs w:val="22"/>
                </w:rPr>
                <w:t>nicola.morton@local.gov.uk</w:t>
              </w:r>
            </w:hyperlink>
            <w:r w:rsidR="00940654">
              <w:rPr>
                <w:rFonts w:ascii="Arial" w:hAnsi="Arial" w:cs="Arial"/>
                <w:szCs w:val="22"/>
              </w:rPr>
              <w:t xml:space="preserve"> </w:t>
            </w:r>
            <w:r w:rsidR="008F3A81" w:rsidRPr="0021114E">
              <w:rPr>
                <w:rFonts w:ascii="Arial" w:hAnsi="Arial" w:cs="Arial"/>
                <w:szCs w:val="22"/>
              </w:rPr>
              <w:t xml:space="preserve"> </w:t>
            </w: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2EEA273D" w14:textId="77777777" w:rsidR="0021114E" w:rsidRDefault="0021114E">
      <w:pPr>
        <w:rPr>
          <w:rFonts w:ascii="Arial" w:hAnsi="Arial" w:cs="Arial"/>
          <w:szCs w:val="22"/>
        </w:rPr>
      </w:pPr>
      <w:r>
        <w:rPr>
          <w:rFonts w:ascii="Arial" w:hAnsi="Arial" w:cs="Arial"/>
          <w:szCs w:val="22"/>
        </w:rPr>
        <w:lastRenderedPageBreak/>
        <w:br w:type="page"/>
      </w:r>
    </w:p>
    <w:p w14:paraId="1D5FAA94" w14:textId="77777777" w:rsidR="00FB7F7C" w:rsidRDefault="00FB7F7C" w:rsidP="00940654">
      <w:pPr>
        <w:pStyle w:val="LGAItemNoHeading"/>
        <w:spacing w:before="240" w:after="0"/>
        <w:rPr>
          <w:rFonts w:ascii="Arial" w:hAnsi="Arial" w:cs="Arial"/>
          <w:sz w:val="28"/>
          <w:szCs w:val="28"/>
        </w:rPr>
      </w:pPr>
      <w:bookmarkStart w:id="2" w:name="MainHeading2"/>
      <w:bookmarkEnd w:id="2"/>
      <w:r>
        <w:rPr>
          <w:rFonts w:ascii="Arial" w:hAnsi="Arial" w:cs="Arial"/>
          <w:sz w:val="28"/>
          <w:szCs w:val="28"/>
        </w:rPr>
        <w:lastRenderedPageBreak/>
        <w:t>2017/18 Local Government Finance Settlement Technical Consultation</w:t>
      </w:r>
    </w:p>
    <w:p w14:paraId="20FEA7AB" w14:textId="77777777" w:rsidR="00940654" w:rsidRPr="00BB212B" w:rsidRDefault="00940654" w:rsidP="00940654">
      <w:pPr>
        <w:pStyle w:val="LGAItemNoHeading"/>
        <w:spacing w:before="0" w:after="0"/>
        <w:rPr>
          <w:rFonts w:ascii="Arial" w:hAnsi="Arial" w:cs="Arial"/>
          <w:sz w:val="28"/>
          <w:szCs w:val="28"/>
        </w:rPr>
      </w:pPr>
    </w:p>
    <w:p w14:paraId="23A219D3" w14:textId="77777777" w:rsidR="00A05560" w:rsidRPr="0021114E" w:rsidRDefault="00A05560" w:rsidP="00F70528">
      <w:pPr>
        <w:pStyle w:val="MainText"/>
        <w:spacing w:line="240" w:lineRule="auto"/>
        <w:jc w:val="both"/>
        <w:rPr>
          <w:rFonts w:ascii="Arial" w:hAnsi="Arial" w:cs="Arial"/>
          <w:szCs w:val="22"/>
        </w:rPr>
      </w:pPr>
      <w:r w:rsidRPr="0021114E">
        <w:rPr>
          <w:rFonts w:ascii="Arial" w:hAnsi="Arial" w:cs="Arial"/>
          <w:b/>
          <w:szCs w:val="22"/>
        </w:rPr>
        <w:t>Background</w:t>
      </w:r>
    </w:p>
    <w:p w14:paraId="1CC58627" w14:textId="77777777" w:rsidR="008F3A81" w:rsidRPr="0021114E" w:rsidRDefault="008F3A81" w:rsidP="00F70528">
      <w:pPr>
        <w:pStyle w:val="MainText"/>
        <w:spacing w:line="240" w:lineRule="auto"/>
        <w:jc w:val="both"/>
        <w:rPr>
          <w:rFonts w:ascii="Arial" w:hAnsi="Arial" w:cs="Arial"/>
          <w:szCs w:val="22"/>
        </w:rPr>
      </w:pPr>
    </w:p>
    <w:p w14:paraId="2C34CA22" w14:textId="162E32D6" w:rsidR="00FB7F7C" w:rsidRDefault="00FB7F7C" w:rsidP="00940654">
      <w:pPr>
        <w:pStyle w:val="MainText"/>
        <w:numPr>
          <w:ilvl w:val="0"/>
          <w:numId w:val="18"/>
        </w:numPr>
        <w:spacing w:line="240" w:lineRule="auto"/>
        <w:jc w:val="both"/>
        <w:rPr>
          <w:rFonts w:ascii="Arial" w:hAnsi="Arial" w:cs="Arial"/>
          <w:szCs w:val="22"/>
        </w:rPr>
      </w:pPr>
      <w:r>
        <w:rPr>
          <w:rFonts w:ascii="Arial" w:hAnsi="Arial" w:cs="Arial"/>
          <w:szCs w:val="22"/>
        </w:rPr>
        <w:t xml:space="preserve">In December 2015, as part of the announcement of the 2015/16 local government finance settlement, the then Secretary of State for Local Government, Greg Clark MP published </w:t>
      </w:r>
      <w:r w:rsidR="00F6338C">
        <w:rPr>
          <w:rFonts w:ascii="Arial" w:hAnsi="Arial" w:cs="Arial"/>
          <w:szCs w:val="22"/>
        </w:rPr>
        <w:t>details</w:t>
      </w:r>
      <w:r>
        <w:rPr>
          <w:rFonts w:ascii="Arial" w:hAnsi="Arial" w:cs="Arial"/>
          <w:szCs w:val="22"/>
        </w:rPr>
        <w:t xml:space="preserve"> of a four-year settlement offer</w:t>
      </w:r>
      <w:r w:rsidR="00F6338C">
        <w:rPr>
          <w:rFonts w:ascii="Arial" w:hAnsi="Arial" w:cs="Arial"/>
          <w:szCs w:val="22"/>
        </w:rPr>
        <w:t xml:space="preserve"> for local authorities</w:t>
      </w:r>
      <w:r>
        <w:rPr>
          <w:rFonts w:ascii="Arial" w:hAnsi="Arial" w:cs="Arial"/>
          <w:szCs w:val="22"/>
        </w:rPr>
        <w:t xml:space="preserve">. </w:t>
      </w:r>
      <w:r w:rsidR="00F6338C">
        <w:rPr>
          <w:rFonts w:ascii="Arial" w:hAnsi="Arial" w:cs="Arial"/>
          <w:szCs w:val="22"/>
        </w:rPr>
        <w:t>The</w:t>
      </w:r>
      <w:r>
        <w:rPr>
          <w:rFonts w:ascii="Arial" w:hAnsi="Arial" w:cs="Arial"/>
          <w:szCs w:val="22"/>
        </w:rPr>
        <w:t xml:space="preserve"> offer is open to any authority</w:t>
      </w:r>
      <w:r w:rsidR="00F6338C">
        <w:rPr>
          <w:rFonts w:ascii="Arial" w:hAnsi="Arial" w:cs="Arial"/>
          <w:szCs w:val="22"/>
        </w:rPr>
        <w:t xml:space="preserve"> which submits an efficiency plan to the Department for Communities and Local Government’s (DCLG) by the deadline of 14 October 2016.</w:t>
      </w:r>
    </w:p>
    <w:p w14:paraId="7D8A1F72" w14:textId="77777777" w:rsidR="00FB7F7C" w:rsidRDefault="00FB7F7C" w:rsidP="00F6338C">
      <w:pPr>
        <w:pStyle w:val="MainText"/>
        <w:spacing w:line="240" w:lineRule="auto"/>
        <w:ind w:left="720"/>
        <w:jc w:val="both"/>
        <w:rPr>
          <w:rFonts w:ascii="Arial" w:hAnsi="Arial" w:cs="Arial"/>
          <w:szCs w:val="22"/>
        </w:rPr>
      </w:pPr>
    </w:p>
    <w:p w14:paraId="4B037398" w14:textId="34EF6F14" w:rsidR="00F6338C" w:rsidRDefault="00F6338C" w:rsidP="00940654">
      <w:pPr>
        <w:pStyle w:val="MainText"/>
        <w:numPr>
          <w:ilvl w:val="0"/>
          <w:numId w:val="18"/>
        </w:numPr>
        <w:spacing w:line="240" w:lineRule="auto"/>
        <w:jc w:val="both"/>
        <w:rPr>
          <w:rFonts w:ascii="Arial" w:hAnsi="Arial" w:cs="Arial"/>
          <w:szCs w:val="22"/>
        </w:rPr>
      </w:pPr>
      <w:r>
        <w:rPr>
          <w:rFonts w:ascii="Arial" w:hAnsi="Arial" w:cs="Arial"/>
          <w:szCs w:val="22"/>
        </w:rPr>
        <w:t>Under the terms of the offer, b</w:t>
      </w:r>
      <w:r w:rsidRPr="00F6338C">
        <w:rPr>
          <w:rFonts w:ascii="Arial" w:hAnsi="Arial" w:cs="Arial"/>
          <w:szCs w:val="22"/>
        </w:rPr>
        <w:t>arring exceptional circumstances</w:t>
      </w:r>
      <w:r>
        <w:rPr>
          <w:rFonts w:ascii="Arial" w:hAnsi="Arial" w:cs="Arial"/>
          <w:szCs w:val="22"/>
        </w:rPr>
        <w:t>, local authorities will r</w:t>
      </w:r>
      <w:r w:rsidR="00026E7D">
        <w:rPr>
          <w:rFonts w:ascii="Arial" w:hAnsi="Arial" w:cs="Arial"/>
          <w:szCs w:val="22"/>
        </w:rPr>
        <w:t>eceive the allocations set out for each year of</w:t>
      </w:r>
      <w:r>
        <w:rPr>
          <w:rFonts w:ascii="Arial" w:hAnsi="Arial" w:cs="Arial"/>
          <w:szCs w:val="22"/>
        </w:rPr>
        <w:t xml:space="preserve"> the offer. The</w:t>
      </w:r>
      <w:r w:rsidRPr="00F6338C">
        <w:rPr>
          <w:rFonts w:ascii="Arial" w:hAnsi="Arial" w:cs="Arial"/>
          <w:szCs w:val="22"/>
        </w:rPr>
        <w:t xml:space="preserve"> constituent elements of the multi-year offer</w:t>
      </w:r>
      <w:r>
        <w:rPr>
          <w:rFonts w:ascii="Arial" w:hAnsi="Arial" w:cs="Arial"/>
          <w:szCs w:val="22"/>
        </w:rPr>
        <w:t>,</w:t>
      </w:r>
      <w:r w:rsidRPr="00F6338C">
        <w:rPr>
          <w:rFonts w:ascii="Arial" w:hAnsi="Arial" w:cs="Arial"/>
          <w:szCs w:val="22"/>
        </w:rPr>
        <w:t xml:space="preserve"> for the remaining years of the Parliamen</w:t>
      </w:r>
      <w:r>
        <w:rPr>
          <w:rFonts w:ascii="Arial" w:hAnsi="Arial" w:cs="Arial"/>
          <w:szCs w:val="22"/>
        </w:rPr>
        <w:t xml:space="preserve">t, will be confirmed by the </w:t>
      </w:r>
      <w:r w:rsidR="00026E7D">
        <w:rPr>
          <w:rFonts w:ascii="Arial" w:hAnsi="Arial" w:cs="Arial"/>
          <w:szCs w:val="22"/>
        </w:rPr>
        <w:t>Government</w:t>
      </w:r>
      <w:r>
        <w:rPr>
          <w:rFonts w:ascii="Arial" w:hAnsi="Arial" w:cs="Arial"/>
          <w:szCs w:val="22"/>
        </w:rPr>
        <w:t>, for qualifying councils,</w:t>
      </w:r>
      <w:r w:rsidRPr="00F6338C">
        <w:rPr>
          <w:rFonts w:ascii="Arial" w:hAnsi="Arial" w:cs="Arial"/>
          <w:szCs w:val="22"/>
        </w:rPr>
        <w:t xml:space="preserve"> soon after 14 October</w:t>
      </w:r>
      <w:r>
        <w:rPr>
          <w:rFonts w:ascii="Arial" w:hAnsi="Arial" w:cs="Arial"/>
          <w:szCs w:val="22"/>
        </w:rPr>
        <w:t xml:space="preserve">. However, </w:t>
      </w:r>
      <w:r w:rsidRPr="00F6338C">
        <w:rPr>
          <w:rFonts w:ascii="Arial" w:hAnsi="Arial" w:cs="Arial"/>
          <w:szCs w:val="22"/>
        </w:rPr>
        <w:t>the normal statutory consultation process for the local government finance settlement</w:t>
      </w:r>
      <w:r>
        <w:rPr>
          <w:rFonts w:ascii="Arial" w:hAnsi="Arial" w:cs="Arial"/>
          <w:szCs w:val="22"/>
        </w:rPr>
        <w:t>, will continue to take place each year, with the publication of provisional and final settlements.</w:t>
      </w:r>
      <w:r w:rsidR="00026E7D" w:rsidRPr="00026E7D">
        <w:rPr>
          <w:rFonts w:ascii="Arial" w:hAnsi="Arial" w:cs="Arial"/>
          <w:szCs w:val="22"/>
        </w:rPr>
        <w:t xml:space="preserve"> Those </w:t>
      </w:r>
      <w:r w:rsidR="00026E7D">
        <w:rPr>
          <w:rFonts w:ascii="Arial" w:hAnsi="Arial" w:cs="Arial"/>
          <w:szCs w:val="22"/>
        </w:rPr>
        <w:t>authorities which</w:t>
      </w:r>
      <w:r w:rsidR="00026E7D" w:rsidRPr="00026E7D">
        <w:rPr>
          <w:rFonts w:ascii="Arial" w:hAnsi="Arial" w:cs="Arial"/>
          <w:szCs w:val="22"/>
        </w:rPr>
        <w:t xml:space="preserve"> choose not to accept the offer will be subject to the existing annual proces</w:t>
      </w:r>
      <w:r w:rsidR="00026E7D">
        <w:rPr>
          <w:rFonts w:ascii="Arial" w:hAnsi="Arial" w:cs="Arial"/>
          <w:szCs w:val="22"/>
        </w:rPr>
        <w:t>s for determining the level of government</w:t>
      </w:r>
      <w:r w:rsidR="00026E7D" w:rsidRPr="00026E7D">
        <w:rPr>
          <w:rFonts w:ascii="Arial" w:hAnsi="Arial" w:cs="Arial"/>
          <w:szCs w:val="22"/>
        </w:rPr>
        <w:t xml:space="preserve"> funding they receive.</w:t>
      </w:r>
    </w:p>
    <w:p w14:paraId="08BD69EA" w14:textId="77777777" w:rsidR="00026E7D" w:rsidRDefault="00026E7D" w:rsidP="00026E7D">
      <w:pPr>
        <w:rPr>
          <w:rFonts w:ascii="Arial" w:hAnsi="Arial" w:cs="Arial"/>
          <w:szCs w:val="22"/>
        </w:rPr>
      </w:pPr>
    </w:p>
    <w:p w14:paraId="0F5424E4" w14:textId="77777777" w:rsidR="00026E7D" w:rsidRPr="00940654" w:rsidRDefault="00026E7D" w:rsidP="00940654">
      <w:pPr>
        <w:rPr>
          <w:rFonts w:ascii="Arial" w:hAnsi="Arial" w:cs="Arial"/>
          <w:b/>
          <w:szCs w:val="22"/>
        </w:rPr>
      </w:pPr>
      <w:r w:rsidRPr="00940654">
        <w:rPr>
          <w:rFonts w:ascii="Arial" w:hAnsi="Arial" w:cs="Arial"/>
          <w:b/>
          <w:szCs w:val="22"/>
        </w:rPr>
        <w:t>Consultation Outline</w:t>
      </w:r>
    </w:p>
    <w:p w14:paraId="75A5D5C3" w14:textId="77777777" w:rsidR="00026E7D" w:rsidRDefault="00026E7D" w:rsidP="00026E7D">
      <w:pPr>
        <w:rPr>
          <w:rFonts w:ascii="Arial" w:hAnsi="Arial" w:cs="Arial"/>
          <w:szCs w:val="22"/>
        </w:rPr>
      </w:pPr>
    </w:p>
    <w:p w14:paraId="7F6A0928" w14:textId="66A61642" w:rsidR="00026E7D" w:rsidRDefault="00026E7D" w:rsidP="00940654">
      <w:pPr>
        <w:pStyle w:val="MainText"/>
        <w:numPr>
          <w:ilvl w:val="0"/>
          <w:numId w:val="18"/>
        </w:numPr>
        <w:spacing w:line="240" w:lineRule="auto"/>
        <w:jc w:val="both"/>
        <w:rPr>
          <w:rFonts w:ascii="Arial" w:hAnsi="Arial" w:cs="Arial"/>
          <w:szCs w:val="22"/>
        </w:rPr>
      </w:pPr>
      <w:r w:rsidRPr="00F6338C">
        <w:rPr>
          <w:rFonts w:ascii="Arial" w:hAnsi="Arial" w:cs="Arial"/>
          <w:szCs w:val="22"/>
        </w:rPr>
        <w:t xml:space="preserve">The Secretary of State for Communities and Local Government, </w:t>
      </w:r>
      <w:proofErr w:type="spellStart"/>
      <w:r w:rsidRPr="00F6338C">
        <w:rPr>
          <w:rFonts w:ascii="Arial" w:hAnsi="Arial" w:cs="Arial"/>
          <w:szCs w:val="22"/>
        </w:rPr>
        <w:t>Sajid</w:t>
      </w:r>
      <w:proofErr w:type="spellEnd"/>
      <w:r w:rsidRPr="00F6338C">
        <w:rPr>
          <w:rFonts w:ascii="Arial" w:hAnsi="Arial" w:cs="Arial"/>
          <w:szCs w:val="22"/>
        </w:rPr>
        <w:t xml:space="preserve"> </w:t>
      </w:r>
      <w:proofErr w:type="spellStart"/>
      <w:r w:rsidRPr="00F6338C">
        <w:rPr>
          <w:rFonts w:ascii="Arial" w:hAnsi="Arial" w:cs="Arial"/>
          <w:szCs w:val="22"/>
        </w:rPr>
        <w:t>Javid</w:t>
      </w:r>
      <w:proofErr w:type="spellEnd"/>
      <w:r w:rsidRPr="00F6338C">
        <w:rPr>
          <w:rFonts w:ascii="Arial" w:hAnsi="Arial" w:cs="Arial"/>
          <w:szCs w:val="22"/>
        </w:rPr>
        <w:t xml:space="preserve"> MP, </w:t>
      </w:r>
      <w:r>
        <w:rPr>
          <w:rFonts w:ascii="Arial" w:hAnsi="Arial" w:cs="Arial"/>
          <w:szCs w:val="22"/>
        </w:rPr>
        <w:t xml:space="preserve">announced the publication of the </w:t>
      </w:r>
      <w:hyperlink r:id="rId15" w:history="1">
        <w:r w:rsidRPr="00097769">
          <w:rPr>
            <w:rStyle w:val="Hyperlink"/>
            <w:rFonts w:ascii="Arial" w:hAnsi="Arial" w:cs="Arial"/>
            <w:szCs w:val="22"/>
          </w:rPr>
          <w:t>technical consultation</w:t>
        </w:r>
      </w:hyperlink>
      <w:r>
        <w:rPr>
          <w:rFonts w:ascii="Arial" w:hAnsi="Arial" w:cs="Arial"/>
          <w:szCs w:val="22"/>
        </w:rPr>
        <w:t xml:space="preserve"> to Parliament in a written ministerial statement on 15 September.</w:t>
      </w:r>
    </w:p>
    <w:p w14:paraId="1E382368" w14:textId="77777777" w:rsidR="00026E7D" w:rsidRDefault="00026E7D" w:rsidP="00026E7D">
      <w:pPr>
        <w:pStyle w:val="MainText"/>
        <w:spacing w:line="240" w:lineRule="auto"/>
        <w:ind w:left="720"/>
        <w:jc w:val="both"/>
        <w:rPr>
          <w:rFonts w:ascii="Arial" w:hAnsi="Arial" w:cs="Arial"/>
          <w:szCs w:val="22"/>
        </w:rPr>
      </w:pPr>
    </w:p>
    <w:p w14:paraId="0FAA958E" w14:textId="5EE5BFE5" w:rsidR="00026E7D" w:rsidRDefault="00026E7D" w:rsidP="00940654">
      <w:pPr>
        <w:pStyle w:val="MainText"/>
        <w:numPr>
          <w:ilvl w:val="0"/>
          <w:numId w:val="18"/>
        </w:numPr>
        <w:spacing w:line="240" w:lineRule="auto"/>
        <w:jc w:val="both"/>
        <w:rPr>
          <w:rFonts w:ascii="Arial" w:hAnsi="Arial" w:cs="Arial"/>
          <w:szCs w:val="22"/>
        </w:rPr>
      </w:pPr>
      <w:r>
        <w:rPr>
          <w:rFonts w:ascii="Arial" w:hAnsi="Arial" w:cs="Arial"/>
          <w:szCs w:val="22"/>
        </w:rPr>
        <w:t>The consultation sets out the Government’s proposed approach for the 2016/17 settlement and covers the following main issues:</w:t>
      </w:r>
    </w:p>
    <w:p w14:paraId="2EFFA21D" w14:textId="77777777" w:rsidR="00026E7D" w:rsidRDefault="00026E7D" w:rsidP="00026E7D">
      <w:pPr>
        <w:pStyle w:val="ListParagraph"/>
        <w:rPr>
          <w:rFonts w:ascii="Arial" w:hAnsi="Arial" w:cs="Arial"/>
          <w:szCs w:val="22"/>
        </w:rPr>
      </w:pPr>
    </w:p>
    <w:p w14:paraId="2413821D" w14:textId="7415BD56" w:rsidR="00026E7D" w:rsidRDefault="00026E7D" w:rsidP="00940654">
      <w:pPr>
        <w:pStyle w:val="MainText"/>
        <w:numPr>
          <w:ilvl w:val="1"/>
          <w:numId w:val="18"/>
        </w:numPr>
        <w:jc w:val="both"/>
        <w:rPr>
          <w:rFonts w:ascii="Arial" w:hAnsi="Arial" w:cs="Arial"/>
          <w:szCs w:val="22"/>
        </w:rPr>
      </w:pPr>
      <w:r>
        <w:rPr>
          <w:rFonts w:ascii="Arial" w:hAnsi="Arial" w:cs="Arial"/>
          <w:szCs w:val="22"/>
        </w:rPr>
        <w:t>Multi-years settlements</w:t>
      </w:r>
    </w:p>
    <w:p w14:paraId="5351E477" w14:textId="77777777" w:rsidR="00664375" w:rsidRDefault="00664375" w:rsidP="00664375">
      <w:pPr>
        <w:pStyle w:val="MainText"/>
        <w:ind w:left="792"/>
        <w:jc w:val="both"/>
        <w:rPr>
          <w:rFonts w:ascii="Arial" w:hAnsi="Arial" w:cs="Arial"/>
          <w:szCs w:val="22"/>
        </w:rPr>
      </w:pPr>
    </w:p>
    <w:p w14:paraId="2DEBDF19" w14:textId="30C8D907" w:rsidR="00026E7D" w:rsidRDefault="00026E7D" w:rsidP="00940654">
      <w:pPr>
        <w:pStyle w:val="MainText"/>
        <w:numPr>
          <w:ilvl w:val="1"/>
          <w:numId w:val="18"/>
        </w:numPr>
        <w:jc w:val="both"/>
        <w:rPr>
          <w:rFonts w:ascii="Arial" w:hAnsi="Arial" w:cs="Arial"/>
          <w:szCs w:val="22"/>
        </w:rPr>
      </w:pPr>
      <w:r w:rsidRPr="00EE637C">
        <w:rPr>
          <w:rFonts w:ascii="Arial" w:hAnsi="Arial" w:cs="Arial"/>
          <w:szCs w:val="22"/>
        </w:rPr>
        <w:t xml:space="preserve">Distribution of funding for the improved Better Care Fund </w:t>
      </w:r>
    </w:p>
    <w:p w14:paraId="07B68F10" w14:textId="77777777" w:rsidR="00664375" w:rsidRPr="00EE637C" w:rsidRDefault="00664375" w:rsidP="00664375">
      <w:pPr>
        <w:pStyle w:val="MainText"/>
        <w:ind w:left="792"/>
        <w:jc w:val="both"/>
        <w:rPr>
          <w:rFonts w:ascii="Arial" w:hAnsi="Arial" w:cs="Arial"/>
          <w:szCs w:val="22"/>
        </w:rPr>
      </w:pPr>
    </w:p>
    <w:p w14:paraId="3915428B" w14:textId="38E121C0" w:rsidR="00026E7D" w:rsidRDefault="00026E7D" w:rsidP="00940654">
      <w:pPr>
        <w:pStyle w:val="MainText"/>
        <w:numPr>
          <w:ilvl w:val="1"/>
          <w:numId w:val="18"/>
        </w:numPr>
        <w:jc w:val="both"/>
        <w:rPr>
          <w:rFonts w:ascii="Arial" w:hAnsi="Arial" w:cs="Arial"/>
          <w:szCs w:val="22"/>
        </w:rPr>
      </w:pPr>
      <w:r w:rsidRPr="00EE637C">
        <w:rPr>
          <w:rFonts w:ascii="Arial" w:hAnsi="Arial" w:cs="Arial"/>
          <w:szCs w:val="22"/>
        </w:rPr>
        <w:t>Council tax referendum principles and their extension to town and parish councils</w:t>
      </w:r>
    </w:p>
    <w:p w14:paraId="019B0686" w14:textId="77777777" w:rsidR="00664375" w:rsidRPr="00EE637C" w:rsidRDefault="00664375" w:rsidP="00664375">
      <w:pPr>
        <w:pStyle w:val="MainText"/>
        <w:ind w:left="792"/>
        <w:jc w:val="both"/>
        <w:rPr>
          <w:rFonts w:ascii="Arial" w:hAnsi="Arial" w:cs="Arial"/>
          <w:szCs w:val="22"/>
        </w:rPr>
      </w:pPr>
    </w:p>
    <w:p w14:paraId="06DAF3F3" w14:textId="11964B5B" w:rsidR="00026E7D" w:rsidRDefault="00026E7D" w:rsidP="00940654">
      <w:pPr>
        <w:pStyle w:val="MainText"/>
        <w:numPr>
          <w:ilvl w:val="1"/>
          <w:numId w:val="18"/>
        </w:numPr>
        <w:jc w:val="both"/>
        <w:rPr>
          <w:rFonts w:ascii="Arial" w:hAnsi="Arial" w:cs="Arial"/>
          <w:szCs w:val="22"/>
        </w:rPr>
      </w:pPr>
      <w:r w:rsidRPr="00EE637C">
        <w:rPr>
          <w:rFonts w:ascii="Arial" w:hAnsi="Arial" w:cs="Arial"/>
          <w:szCs w:val="22"/>
        </w:rPr>
        <w:t>Adjustments to top-up and tariffs to cancel out the impact of business rates revaluation</w:t>
      </w:r>
    </w:p>
    <w:p w14:paraId="3355EE84" w14:textId="77777777" w:rsidR="00664375" w:rsidRPr="00EE637C" w:rsidRDefault="00664375" w:rsidP="00664375">
      <w:pPr>
        <w:pStyle w:val="MainText"/>
        <w:ind w:left="792"/>
        <w:jc w:val="both"/>
        <w:rPr>
          <w:rFonts w:ascii="Arial" w:hAnsi="Arial" w:cs="Arial"/>
          <w:szCs w:val="22"/>
        </w:rPr>
      </w:pPr>
    </w:p>
    <w:p w14:paraId="1AD834F0" w14:textId="77777777" w:rsidR="00664375" w:rsidRDefault="00026E7D" w:rsidP="00940654">
      <w:pPr>
        <w:pStyle w:val="MainText"/>
        <w:numPr>
          <w:ilvl w:val="1"/>
          <w:numId w:val="18"/>
        </w:numPr>
        <w:jc w:val="both"/>
        <w:rPr>
          <w:rFonts w:ascii="Arial" w:hAnsi="Arial" w:cs="Arial"/>
          <w:szCs w:val="22"/>
        </w:rPr>
      </w:pPr>
      <w:r w:rsidRPr="00EE637C">
        <w:rPr>
          <w:rFonts w:ascii="Arial" w:hAnsi="Arial" w:cs="Arial"/>
          <w:szCs w:val="22"/>
        </w:rPr>
        <w:t>Methodology</w:t>
      </w:r>
    </w:p>
    <w:p w14:paraId="3B298FA3" w14:textId="737391D9" w:rsidR="0018247C" w:rsidRPr="0018247C" w:rsidRDefault="00026E7D" w:rsidP="00664375">
      <w:pPr>
        <w:pStyle w:val="MainText"/>
        <w:ind w:left="792"/>
        <w:jc w:val="both"/>
        <w:rPr>
          <w:rFonts w:ascii="Arial" w:hAnsi="Arial" w:cs="Arial"/>
          <w:szCs w:val="22"/>
        </w:rPr>
      </w:pPr>
      <w:r w:rsidRPr="00EE637C">
        <w:rPr>
          <w:rFonts w:ascii="Arial" w:hAnsi="Arial" w:cs="Arial"/>
          <w:szCs w:val="22"/>
        </w:rPr>
        <w:t xml:space="preserve"> </w:t>
      </w:r>
      <w:r w:rsidRPr="00EE637C">
        <w:rPr>
          <w:rFonts w:ascii="Arial" w:hAnsi="Arial" w:cs="Arial"/>
          <w:vanish/>
          <w:lang w:val="en"/>
        </w:rPr>
        <w:t>local authorities to pilot 100% business rates retention, designed to ensure that other authorities are not adve</w:t>
      </w:r>
      <w:r w:rsidR="0018247C">
        <w:rPr>
          <w:rFonts w:ascii="Arial" w:hAnsi="Arial" w:cs="Arial"/>
          <w:vanish/>
          <w:lang w:val="en"/>
        </w:rPr>
        <w:t>rsely affected by these pilots</w:t>
      </w:r>
    </w:p>
    <w:p w14:paraId="482E74CF" w14:textId="76F55FF9" w:rsidR="00EE637C" w:rsidRPr="00EE637C" w:rsidRDefault="00ED15CD" w:rsidP="00940654">
      <w:pPr>
        <w:pStyle w:val="MainText"/>
        <w:numPr>
          <w:ilvl w:val="1"/>
          <w:numId w:val="18"/>
        </w:numPr>
        <w:jc w:val="both"/>
        <w:rPr>
          <w:rFonts w:ascii="Arial" w:hAnsi="Arial" w:cs="Arial"/>
          <w:szCs w:val="22"/>
        </w:rPr>
      </w:pPr>
      <w:r>
        <w:rPr>
          <w:rFonts w:ascii="Arial" w:hAnsi="Arial" w:cs="Arial"/>
          <w:szCs w:val="22"/>
        </w:rPr>
        <w:t>T</w:t>
      </w:r>
      <w:r w:rsidR="0018247C">
        <w:rPr>
          <w:rFonts w:ascii="Arial" w:hAnsi="Arial" w:cs="Arial"/>
          <w:szCs w:val="22"/>
        </w:rPr>
        <w:t xml:space="preserve">he voluntary transfer of </w:t>
      </w:r>
      <w:r w:rsidR="00EE637C" w:rsidRPr="00EE637C">
        <w:rPr>
          <w:rFonts w:ascii="Arial" w:hAnsi="Arial" w:cs="Arial"/>
          <w:szCs w:val="22"/>
        </w:rPr>
        <w:t>funding streams within devolution deal areas</w:t>
      </w:r>
      <w:r w:rsidR="0018247C">
        <w:rPr>
          <w:rFonts w:ascii="Arial" w:hAnsi="Arial" w:cs="Arial"/>
          <w:szCs w:val="22"/>
        </w:rPr>
        <w:t xml:space="preserve"> to combined authorities</w:t>
      </w:r>
      <w:r w:rsidR="00EE637C" w:rsidRPr="00EE637C">
        <w:rPr>
          <w:rFonts w:ascii="Arial" w:hAnsi="Arial" w:cs="Arial"/>
          <w:lang w:val="en"/>
        </w:rPr>
        <w:t xml:space="preserve"> </w:t>
      </w:r>
    </w:p>
    <w:p w14:paraId="051C5D61" w14:textId="77777777" w:rsidR="00D5182C" w:rsidRDefault="00D5182C" w:rsidP="00D5182C">
      <w:pPr>
        <w:pStyle w:val="MainText"/>
        <w:jc w:val="both"/>
        <w:rPr>
          <w:rFonts w:ascii="Verdana" w:hAnsi="Verdana"/>
          <w:lang w:val="en"/>
        </w:rPr>
      </w:pPr>
    </w:p>
    <w:p w14:paraId="38CCE5A3" w14:textId="6DE3B9B9" w:rsidR="00026E7D" w:rsidRDefault="00EE637C" w:rsidP="00940654">
      <w:pPr>
        <w:pStyle w:val="MainText"/>
        <w:numPr>
          <w:ilvl w:val="0"/>
          <w:numId w:val="18"/>
        </w:numPr>
        <w:spacing w:line="240" w:lineRule="auto"/>
        <w:jc w:val="both"/>
        <w:rPr>
          <w:rFonts w:ascii="Arial" w:hAnsi="Arial" w:cs="Arial"/>
          <w:szCs w:val="22"/>
        </w:rPr>
      </w:pPr>
      <w:r w:rsidRPr="00D5182C">
        <w:rPr>
          <w:rFonts w:ascii="Arial" w:hAnsi="Arial" w:cs="Arial"/>
          <w:szCs w:val="22"/>
        </w:rPr>
        <w:t>Each</w:t>
      </w:r>
      <w:r w:rsidR="00D5182C" w:rsidRPr="00D5182C">
        <w:rPr>
          <w:rFonts w:ascii="Arial" w:hAnsi="Arial" w:cs="Arial"/>
          <w:szCs w:val="22"/>
        </w:rPr>
        <w:t xml:space="preserve"> of these issues are set out in more detail in the </w:t>
      </w:r>
      <w:r w:rsidRPr="00D5182C">
        <w:rPr>
          <w:rFonts w:ascii="Arial" w:hAnsi="Arial" w:cs="Arial"/>
          <w:szCs w:val="22"/>
        </w:rPr>
        <w:t>sections</w:t>
      </w:r>
      <w:r w:rsidR="00D5182C" w:rsidRPr="00D5182C">
        <w:rPr>
          <w:rFonts w:ascii="Arial" w:hAnsi="Arial" w:cs="Arial"/>
          <w:szCs w:val="22"/>
        </w:rPr>
        <w:t xml:space="preserve"> below</w:t>
      </w:r>
      <w:r>
        <w:rPr>
          <w:rFonts w:ascii="Arial" w:hAnsi="Arial" w:cs="Arial"/>
          <w:szCs w:val="22"/>
        </w:rPr>
        <w:t>:</w:t>
      </w:r>
    </w:p>
    <w:p w14:paraId="57D738A6" w14:textId="77777777" w:rsidR="00D5182C" w:rsidRDefault="00D5182C" w:rsidP="00D5182C">
      <w:pPr>
        <w:pStyle w:val="MainText"/>
        <w:spacing w:line="240" w:lineRule="auto"/>
        <w:jc w:val="both"/>
        <w:rPr>
          <w:rFonts w:ascii="Arial" w:hAnsi="Arial" w:cs="Arial"/>
          <w:szCs w:val="22"/>
        </w:rPr>
      </w:pPr>
    </w:p>
    <w:p w14:paraId="76A51D88" w14:textId="2C93BBB0" w:rsidR="00D5182C" w:rsidRDefault="00D5182C" w:rsidP="00940654">
      <w:pPr>
        <w:pStyle w:val="MainText"/>
        <w:spacing w:line="240" w:lineRule="auto"/>
        <w:jc w:val="both"/>
        <w:rPr>
          <w:rFonts w:ascii="Arial" w:hAnsi="Arial" w:cs="Arial"/>
          <w:b/>
          <w:szCs w:val="22"/>
        </w:rPr>
      </w:pPr>
      <w:r w:rsidRPr="00D5182C">
        <w:rPr>
          <w:rFonts w:ascii="Arial" w:hAnsi="Arial" w:cs="Arial"/>
          <w:b/>
          <w:szCs w:val="22"/>
        </w:rPr>
        <w:t>Multi-Year Settlements</w:t>
      </w:r>
    </w:p>
    <w:p w14:paraId="5203B0B0" w14:textId="77777777" w:rsidR="00D5182C" w:rsidRPr="00D5182C" w:rsidRDefault="00D5182C" w:rsidP="00D5182C">
      <w:pPr>
        <w:pStyle w:val="MainText"/>
        <w:spacing w:line="240" w:lineRule="auto"/>
        <w:jc w:val="both"/>
        <w:rPr>
          <w:rFonts w:ascii="Arial" w:hAnsi="Arial" w:cs="Arial"/>
          <w:b/>
          <w:szCs w:val="22"/>
        </w:rPr>
      </w:pPr>
    </w:p>
    <w:p w14:paraId="67455CB9" w14:textId="2023BD3D" w:rsidR="00D5182C" w:rsidRDefault="00D5182C" w:rsidP="00940654">
      <w:pPr>
        <w:pStyle w:val="MainText"/>
        <w:numPr>
          <w:ilvl w:val="0"/>
          <w:numId w:val="18"/>
        </w:numPr>
        <w:spacing w:line="240" w:lineRule="auto"/>
        <w:jc w:val="both"/>
        <w:rPr>
          <w:rFonts w:ascii="Arial" w:hAnsi="Arial" w:cs="Arial"/>
          <w:szCs w:val="22"/>
        </w:rPr>
      </w:pPr>
      <w:r>
        <w:rPr>
          <w:rFonts w:ascii="Arial" w:hAnsi="Arial" w:cs="Arial"/>
          <w:szCs w:val="22"/>
        </w:rPr>
        <w:t xml:space="preserve">The consultation reconfirms the Government’s commitment to the multi-year settlement offer, first announced in December 2015. </w:t>
      </w:r>
      <w:r w:rsidRPr="00D5182C">
        <w:rPr>
          <w:rFonts w:ascii="Arial" w:hAnsi="Arial" w:cs="Arial"/>
          <w:szCs w:val="22"/>
        </w:rPr>
        <w:t>As noted above,</w:t>
      </w:r>
      <w:r>
        <w:rPr>
          <w:rFonts w:ascii="Arial" w:hAnsi="Arial" w:cs="Arial"/>
          <w:szCs w:val="22"/>
        </w:rPr>
        <w:t xml:space="preserve"> f</w:t>
      </w:r>
      <w:r w:rsidRPr="00D5182C">
        <w:rPr>
          <w:rFonts w:ascii="Arial" w:hAnsi="Arial" w:cs="Arial"/>
          <w:szCs w:val="22"/>
        </w:rPr>
        <w:t>or those councils</w:t>
      </w:r>
      <w:r>
        <w:rPr>
          <w:rFonts w:ascii="Arial" w:hAnsi="Arial" w:cs="Arial"/>
          <w:szCs w:val="22"/>
        </w:rPr>
        <w:t xml:space="preserve"> which accept the offer by</w:t>
      </w:r>
      <w:r w:rsidRPr="00D5182C">
        <w:rPr>
          <w:rFonts w:ascii="Arial" w:hAnsi="Arial" w:cs="Arial"/>
          <w:szCs w:val="22"/>
        </w:rPr>
        <w:t xml:space="preserve"> the 14 October deadline</w:t>
      </w:r>
      <w:r w:rsidR="00EE637C">
        <w:rPr>
          <w:rFonts w:ascii="Arial" w:hAnsi="Arial" w:cs="Arial"/>
          <w:szCs w:val="22"/>
        </w:rPr>
        <w:t>,</w:t>
      </w:r>
      <w:r w:rsidRPr="00D5182C">
        <w:rPr>
          <w:rFonts w:ascii="Arial" w:hAnsi="Arial" w:cs="Arial"/>
          <w:szCs w:val="22"/>
        </w:rPr>
        <w:t xml:space="preserve"> the Government intends to confirm the constituent elements of the offer for qualifying councils, </w:t>
      </w:r>
      <w:r>
        <w:rPr>
          <w:rFonts w:ascii="Arial" w:hAnsi="Arial" w:cs="Arial"/>
          <w:szCs w:val="22"/>
        </w:rPr>
        <w:t xml:space="preserve">as </w:t>
      </w:r>
      <w:r w:rsidRPr="00D5182C">
        <w:rPr>
          <w:rFonts w:ascii="Arial" w:hAnsi="Arial" w:cs="Arial"/>
          <w:szCs w:val="22"/>
        </w:rPr>
        <w:t>soon</w:t>
      </w:r>
      <w:r>
        <w:rPr>
          <w:rFonts w:ascii="Arial" w:hAnsi="Arial" w:cs="Arial"/>
          <w:szCs w:val="22"/>
        </w:rPr>
        <w:t xml:space="preserve"> as practicable after the deadline.</w:t>
      </w:r>
      <w:r w:rsidR="00B31E7B">
        <w:rPr>
          <w:rFonts w:ascii="Arial" w:hAnsi="Arial" w:cs="Arial"/>
          <w:szCs w:val="22"/>
        </w:rPr>
        <w:t xml:space="preserve">  The </w:t>
      </w:r>
      <w:r w:rsidR="00B31E7B">
        <w:rPr>
          <w:rFonts w:ascii="Arial" w:hAnsi="Arial" w:cs="Arial"/>
          <w:szCs w:val="22"/>
        </w:rPr>
        <w:lastRenderedPageBreak/>
        <w:t>current offer includes: Revenue Support Grant; business rates tariff and top-up payments; Rural Services Delivery Grant and Transition Grant.</w:t>
      </w:r>
    </w:p>
    <w:p w14:paraId="71B3AAD7" w14:textId="77777777" w:rsidR="00D5182C" w:rsidRDefault="00D5182C" w:rsidP="00D5182C">
      <w:pPr>
        <w:pStyle w:val="MainText"/>
        <w:spacing w:line="240" w:lineRule="auto"/>
        <w:ind w:left="720"/>
        <w:jc w:val="both"/>
        <w:rPr>
          <w:rFonts w:ascii="Arial" w:hAnsi="Arial" w:cs="Arial"/>
          <w:szCs w:val="22"/>
        </w:rPr>
      </w:pPr>
    </w:p>
    <w:p w14:paraId="4EC1F091" w14:textId="73B06AF2" w:rsidR="00D5182C" w:rsidRDefault="00D5182C" w:rsidP="00940654">
      <w:pPr>
        <w:pStyle w:val="MainText"/>
        <w:numPr>
          <w:ilvl w:val="0"/>
          <w:numId w:val="18"/>
        </w:numPr>
        <w:spacing w:line="240" w:lineRule="auto"/>
        <w:jc w:val="both"/>
        <w:rPr>
          <w:rFonts w:ascii="Arial" w:hAnsi="Arial" w:cs="Arial"/>
          <w:szCs w:val="22"/>
        </w:rPr>
      </w:pPr>
      <w:r w:rsidRPr="00D5182C">
        <w:rPr>
          <w:rFonts w:ascii="Arial" w:hAnsi="Arial" w:cs="Arial"/>
          <w:szCs w:val="22"/>
        </w:rPr>
        <w:t xml:space="preserve">The Government is also considering expanding the existing multi-year offer to include more grants, to provide councils with more security over a </w:t>
      </w:r>
      <w:r>
        <w:rPr>
          <w:rFonts w:ascii="Arial" w:hAnsi="Arial" w:cs="Arial"/>
          <w:szCs w:val="22"/>
        </w:rPr>
        <w:t>large</w:t>
      </w:r>
      <w:r w:rsidRPr="00D5182C">
        <w:rPr>
          <w:rFonts w:ascii="Arial" w:hAnsi="Arial" w:cs="Arial"/>
          <w:szCs w:val="22"/>
        </w:rPr>
        <w:t xml:space="preserve">r proportion of their funding for the rest of this Parliament. </w:t>
      </w:r>
      <w:r>
        <w:rPr>
          <w:rFonts w:ascii="Arial" w:hAnsi="Arial" w:cs="Arial"/>
          <w:szCs w:val="22"/>
        </w:rPr>
        <w:t>The consultation invites suggestions for</w:t>
      </w:r>
      <w:r w:rsidRPr="00D5182C">
        <w:rPr>
          <w:rFonts w:ascii="Arial" w:hAnsi="Arial" w:cs="Arial"/>
          <w:szCs w:val="22"/>
        </w:rPr>
        <w:t xml:space="preserve"> other grants </w:t>
      </w:r>
      <w:r>
        <w:rPr>
          <w:rFonts w:ascii="Arial" w:hAnsi="Arial" w:cs="Arial"/>
          <w:szCs w:val="22"/>
        </w:rPr>
        <w:t xml:space="preserve">that </w:t>
      </w:r>
      <w:r w:rsidRPr="00D5182C">
        <w:rPr>
          <w:rFonts w:ascii="Arial" w:hAnsi="Arial" w:cs="Arial"/>
          <w:szCs w:val="22"/>
        </w:rPr>
        <w:t>could be included, in addition to those in the existing offer.</w:t>
      </w:r>
    </w:p>
    <w:p w14:paraId="1C7758B6" w14:textId="77777777" w:rsidR="00D5182C" w:rsidRDefault="00D5182C" w:rsidP="00D5182C">
      <w:pPr>
        <w:pStyle w:val="ListParagraph"/>
        <w:rPr>
          <w:rFonts w:ascii="Arial" w:hAnsi="Arial" w:cs="Arial"/>
          <w:szCs w:val="22"/>
        </w:rPr>
      </w:pPr>
    </w:p>
    <w:p w14:paraId="2C9BD94D" w14:textId="77777777" w:rsidR="00D5182C" w:rsidRPr="00940654" w:rsidRDefault="00D5182C" w:rsidP="00940654">
      <w:pPr>
        <w:rPr>
          <w:rFonts w:ascii="Arial" w:hAnsi="Arial" w:cs="Arial"/>
          <w:b/>
          <w:bCs/>
        </w:rPr>
      </w:pPr>
      <w:r w:rsidRPr="00940654">
        <w:rPr>
          <w:rFonts w:ascii="Arial" w:hAnsi="Arial" w:cs="Arial"/>
          <w:b/>
          <w:bCs/>
        </w:rPr>
        <w:t>Improved Better Care Fund</w:t>
      </w:r>
    </w:p>
    <w:p w14:paraId="0663BD7F" w14:textId="77777777" w:rsidR="00D5182C" w:rsidRDefault="00D5182C" w:rsidP="00D5182C">
      <w:pPr>
        <w:rPr>
          <w:rFonts w:ascii="Arial" w:hAnsi="Arial" w:cs="Arial"/>
          <w:b/>
          <w:bCs/>
        </w:rPr>
      </w:pPr>
    </w:p>
    <w:p w14:paraId="37947BE7" w14:textId="63C6E42C" w:rsidR="00D5182C" w:rsidRDefault="00D5182C" w:rsidP="00940654">
      <w:pPr>
        <w:pStyle w:val="MainText"/>
        <w:numPr>
          <w:ilvl w:val="0"/>
          <w:numId w:val="18"/>
        </w:numPr>
        <w:spacing w:line="240" w:lineRule="auto"/>
        <w:jc w:val="both"/>
        <w:rPr>
          <w:rFonts w:ascii="Arial" w:hAnsi="Arial" w:cs="Arial"/>
        </w:rPr>
      </w:pPr>
      <w:r>
        <w:rPr>
          <w:rFonts w:ascii="Arial" w:hAnsi="Arial" w:cs="Arial"/>
        </w:rPr>
        <w:t>The improved Better Care Fund (</w:t>
      </w:r>
      <w:proofErr w:type="spellStart"/>
      <w:r>
        <w:rPr>
          <w:rFonts w:ascii="Arial" w:hAnsi="Arial" w:cs="Arial"/>
        </w:rPr>
        <w:t>iBCF</w:t>
      </w:r>
      <w:proofErr w:type="spellEnd"/>
      <w:r>
        <w:rPr>
          <w:rFonts w:ascii="Arial" w:hAnsi="Arial" w:cs="Arial"/>
        </w:rPr>
        <w:t>) was announced as part of the Spending Review in November 2015. The funding will be worth £105 million in 2017/18, rising to £800 million in 2018/19 and then £1.5 billion in 2019/20; the final year of the Spending Review period.</w:t>
      </w:r>
    </w:p>
    <w:p w14:paraId="0D7B9D67" w14:textId="77777777" w:rsidR="00D5182C" w:rsidRDefault="00D5182C" w:rsidP="00D5182C">
      <w:pPr>
        <w:pStyle w:val="MainText"/>
        <w:spacing w:line="240" w:lineRule="auto"/>
        <w:ind w:left="720"/>
        <w:jc w:val="both"/>
        <w:rPr>
          <w:rFonts w:ascii="Arial" w:hAnsi="Arial" w:cs="Arial"/>
        </w:rPr>
      </w:pPr>
    </w:p>
    <w:p w14:paraId="602C5A34" w14:textId="372F7F34" w:rsidR="00D5182C" w:rsidRDefault="00D5182C" w:rsidP="00940654">
      <w:pPr>
        <w:pStyle w:val="MainText"/>
        <w:numPr>
          <w:ilvl w:val="0"/>
          <w:numId w:val="18"/>
        </w:numPr>
        <w:spacing w:line="240" w:lineRule="auto"/>
        <w:jc w:val="both"/>
        <w:rPr>
          <w:rFonts w:ascii="Arial" w:hAnsi="Arial" w:cs="Arial"/>
        </w:rPr>
      </w:pPr>
      <w:r>
        <w:rPr>
          <w:rFonts w:ascii="Arial" w:hAnsi="Arial" w:cs="Arial"/>
        </w:rPr>
        <w:t xml:space="preserve">The Government published it proposed allocation methodology for the </w:t>
      </w:r>
      <w:proofErr w:type="spellStart"/>
      <w:r>
        <w:rPr>
          <w:rFonts w:ascii="Arial" w:hAnsi="Arial" w:cs="Arial"/>
        </w:rPr>
        <w:t>iBCF</w:t>
      </w:r>
      <w:proofErr w:type="spellEnd"/>
      <w:r w:rsidRPr="00D5182C">
        <w:rPr>
          <w:rFonts w:ascii="Arial" w:hAnsi="Arial" w:cs="Arial"/>
        </w:rPr>
        <w:t xml:space="preserve"> </w:t>
      </w:r>
      <w:r>
        <w:rPr>
          <w:rFonts w:ascii="Arial" w:hAnsi="Arial" w:cs="Arial"/>
        </w:rPr>
        <w:t>in the consultation on the 2016/17 local government finance settlement</w:t>
      </w:r>
      <w:r w:rsidR="00EE637C">
        <w:rPr>
          <w:rFonts w:ascii="Arial" w:hAnsi="Arial" w:cs="Arial"/>
        </w:rPr>
        <w:t>, in December 2015</w:t>
      </w:r>
      <w:r>
        <w:rPr>
          <w:rFonts w:ascii="Arial" w:hAnsi="Arial" w:cs="Arial"/>
        </w:rPr>
        <w:t xml:space="preserve">. The current </w:t>
      </w:r>
      <w:r w:rsidR="006D6881">
        <w:rPr>
          <w:rFonts w:ascii="Arial" w:hAnsi="Arial" w:cs="Arial"/>
        </w:rPr>
        <w:t>consultation</w:t>
      </w:r>
      <w:r>
        <w:rPr>
          <w:rFonts w:ascii="Arial" w:hAnsi="Arial" w:cs="Arial"/>
        </w:rPr>
        <w:t xml:space="preserve"> proposes that this </w:t>
      </w:r>
      <w:r w:rsidR="006D6881">
        <w:rPr>
          <w:rFonts w:ascii="Arial" w:hAnsi="Arial" w:cs="Arial"/>
        </w:rPr>
        <w:t>methodology</w:t>
      </w:r>
      <w:r>
        <w:rPr>
          <w:rFonts w:ascii="Arial" w:hAnsi="Arial" w:cs="Arial"/>
        </w:rPr>
        <w:t xml:space="preserve"> is adopted </w:t>
      </w:r>
      <w:r w:rsidR="006D6881">
        <w:rPr>
          <w:rFonts w:ascii="Arial" w:hAnsi="Arial" w:cs="Arial"/>
        </w:rPr>
        <w:t>from 2017/18.</w:t>
      </w:r>
      <w:r>
        <w:rPr>
          <w:rFonts w:ascii="Arial" w:hAnsi="Arial" w:cs="Arial"/>
        </w:rPr>
        <w:t xml:space="preserve"> </w:t>
      </w:r>
    </w:p>
    <w:p w14:paraId="6A61A8CD" w14:textId="77777777" w:rsidR="00D5182C" w:rsidRDefault="00D5182C" w:rsidP="00D5182C">
      <w:pPr>
        <w:pStyle w:val="ListParagraph"/>
        <w:rPr>
          <w:rFonts w:ascii="Arial" w:hAnsi="Arial" w:cs="Arial"/>
        </w:rPr>
      </w:pPr>
    </w:p>
    <w:p w14:paraId="5AF90F43" w14:textId="77777777" w:rsidR="00641F41" w:rsidRDefault="006D6881" w:rsidP="00940654">
      <w:pPr>
        <w:pStyle w:val="ListParagraph"/>
        <w:numPr>
          <w:ilvl w:val="0"/>
          <w:numId w:val="18"/>
        </w:numPr>
        <w:rPr>
          <w:rFonts w:ascii="Arial" w:hAnsi="Arial" w:cs="Arial"/>
          <w:sz w:val="20"/>
        </w:rPr>
      </w:pPr>
      <w:r w:rsidRPr="006D6881">
        <w:rPr>
          <w:rFonts w:ascii="Arial" w:hAnsi="Arial" w:cs="Arial"/>
        </w:rPr>
        <w:t xml:space="preserve">The methodology takes into account the varying ability of councils to raise income through the adult social care precept. </w:t>
      </w:r>
      <w:r w:rsidR="00641F41">
        <w:rPr>
          <w:rFonts w:ascii="Arial" w:hAnsi="Arial" w:cs="Arial"/>
        </w:rPr>
        <w:t xml:space="preserve">The funding available for the </w:t>
      </w:r>
      <w:proofErr w:type="spellStart"/>
      <w:r w:rsidR="00641F41">
        <w:rPr>
          <w:rFonts w:ascii="Arial" w:hAnsi="Arial" w:cs="Arial"/>
        </w:rPr>
        <w:t>iBCF</w:t>
      </w:r>
      <w:proofErr w:type="spellEnd"/>
      <w:r w:rsidR="00641F41">
        <w:rPr>
          <w:rFonts w:ascii="Arial" w:hAnsi="Arial" w:cs="Arial"/>
        </w:rPr>
        <w:t xml:space="preserve"> will be allocated to each authority according to their share of the national total determined by the 2013 adult social care relative needs formula, adjusting for the income which could be raised from the additional social care council tax flexibility.</w:t>
      </w:r>
    </w:p>
    <w:p w14:paraId="7D56E8C3" w14:textId="0F91FE60" w:rsidR="00E54207" w:rsidRDefault="00E54207" w:rsidP="00641F41">
      <w:pPr>
        <w:pStyle w:val="MainText"/>
        <w:spacing w:line="240" w:lineRule="auto"/>
        <w:ind w:left="720"/>
        <w:jc w:val="both"/>
        <w:rPr>
          <w:rFonts w:ascii="Arial" w:hAnsi="Arial" w:cs="Arial"/>
        </w:rPr>
      </w:pPr>
    </w:p>
    <w:p w14:paraId="617A407F" w14:textId="0992F584" w:rsidR="00E54207" w:rsidRDefault="00E54207" w:rsidP="00940654">
      <w:pPr>
        <w:pStyle w:val="MainText"/>
        <w:numPr>
          <w:ilvl w:val="0"/>
          <w:numId w:val="18"/>
        </w:numPr>
        <w:spacing w:line="240" w:lineRule="auto"/>
        <w:jc w:val="both"/>
        <w:rPr>
          <w:rFonts w:ascii="Arial" w:hAnsi="Arial" w:cs="Arial"/>
        </w:rPr>
      </w:pPr>
      <w:r>
        <w:rPr>
          <w:rFonts w:ascii="Arial" w:hAnsi="Arial" w:cs="Arial"/>
        </w:rPr>
        <w:t>The consultation seeks views from local government on whether the proposed methodology is supported.</w:t>
      </w:r>
    </w:p>
    <w:p w14:paraId="4EE078C1" w14:textId="77777777" w:rsidR="00E54207" w:rsidRDefault="00E54207" w:rsidP="00E54207">
      <w:pPr>
        <w:pStyle w:val="ListParagraph"/>
        <w:rPr>
          <w:rFonts w:ascii="Arial" w:hAnsi="Arial" w:cs="Arial"/>
        </w:rPr>
      </w:pPr>
    </w:p>
    <w:p w14:paraId="0D12FC81" w14:textId="77777777" w:rsidR="00E54207" w:rsidRPr="00E54207" w:rsidRDefault="00E54207" w:rsidP="00940654">
      <w:pPr>
        <w:pStyle w:val="MainText"/>
        <w:jc w:val="both"/>
        <w:rPr>
          <w:rFonts w:ascii="Arial" w:hAnsi="Arial" w:cs="Arial"/>
          <w:b/>
        </w:rPr>
      </w:pPr>
      <w:r w:rsidRPr="00E54207">
        <w:rPr>
          <w:rFonts w:ascii="Arial" w:hAnsi="Arial" w:cs="Arial"/>
          <w:b/>
        </w:rPr>
        <w:t>Council Tax Referendum Principles</w:t>
      </w:r>
    </w:p>
    <w:p w14:paraId="0C782E79" w14:textId="77777777" w:rsidR="00E54207" w:rsidRDefault="00E54207" w:rsidP="00E54207">
      <w:pPr>
        <w:pStyle w:val="MainText"/>
        <w:jc w:val="both"/>
        <w:rPr>
          <w:rFonts w:ascii="Arial" w:hAnsi="Arial" w:cs="Arial"/>
        </w:rPr>
      </w:pPr>
    </w:p>
    <w:p w14:paraId="23728305" w14:textId="7A43685D" w:rsidR="00E54207" w:rsidRDefault="00E54207" w:rsidP="00940654">
      <w:pPr>
        <w:pStyle w:val="MainText"/>
        <w:numPr>
          <w:ilvl w:val="0"/>
          <w:numId w:val="18"/>
        </w:numPr>
        <w:spacing w:line="240" w:lineRule="auto"/>
        <w:jc w:val="both"/>
        <w:rPr>
          <w:rFonts w:ascii="Arial" w:hAnsi="Arial" w:cs="Arial"/>
        </w:rPr>
      </w:pPr>
      <w:r>
        <w:rPr>
          <w:rFonts w:ascii="Arial" w:hAnsi="Arial" w:cs="Arial"/>
        </w:rPr>
        <w:t xml:space="preserve">Each year the Government publishes council tax referendum principles; the threshold at which a council tax increase triggers </w:t>
      </w:r>
      <w:r w:rsidR="0035235A">
        <w:rPr>
          <w:rFonts w:ascii="Arial" w:hAnsi="Arial" w:cs="Arial"/>
        </w:rPr>
        <w:t xml:space="preserve">a </w:t>
      </w:r>
      <w:r>
        <w:rPr>
          <w:rFonts w:ascii="Arial" w:hAnsi="Arial" w:cs="Arial"/>
        </w:rPr>
        <w:t>referendum.</w:t>
      </w:r>
      <w:r w:rsidRPr="00E54207">
        <w:rPr>
          <w:rFonts w:ascii="Arial" w:hAnsi="Arial" w:cs="Arial"/>
        </w:rPr>
        <w:t xml:space="preserve"> </w:t>
      </w:r>
      <w:r>
        <w:rPr>
          <w:rFonts w:ascii="Arial" w:hAnsi="Arial" w:cs="Arial"/>
        </w:rPr>
        <w:t>A</w:t>
      </w:r>
      <w:r w:rsidRPr="00E54207">
        <w:rPr>
          <w:rFonts w:ascii="Arial" w:hAnsi="Arial" w:cs="Arial"/>
        </w:rPr>
        <w:t>s in 2016/17</w:t>
      </w:r>
      <w:r>
        <w:rPr>
          <w:rFonts w:ascii="Arial" w:hAnsi="Arial" w:cs="Arial"/>
        </w:rPr>
        <w:t>, t</w:t>
      </w:r>
      <w:r w:rsidRPr="00E54207">
        <w:rPr>
          <w:rFonts w:ascii="Arial" w:hAnsi="Arial" w:cs="Arial"/>
        </w:rPr>
        <w:t>he referendum threshold</w:t>
      </w:r>
      <w:r>
        <w:rPr>
          <w:rFonts w:ascii="Arial" w:hAnsi="Arial" w:cs="Arial"/>
        </w:rPr>
        <w:t xml:space="preserve"> is</w:t>
      </w:r>
      <w:r w:rsidRPr="00E54207">
        <w:rPr>
          <w:rFonts w:ascii="Arial" w:hAnsi="Arial" w:cs="Arial"/>
        </w:rPr>
        <w:t xml:space="preserve"> proposed at 2 per cent for all local authorities</w:t>
      </w:r>
      <w:r>
        <w:rPr>
          <w:rFonts w:ascii="Arial" w:hAnsi="Arial" w:cs="Arial"/>
        </w:rPr>
        <w:t xml:space="preserve">. </w:t>
      </w:r>
    </w:p>
    <w:p w14:paraId="0E3EC7CC" w14:textId="77777777" w:rsidR="00E54207" w:rsidRDefault="00E54207" w:rsidP="00E54207">
      <w:pPr>
        <w:pStyle w:val="MainText"/>
        <w:ind w:left="720"/>
        <w:jc w:val="both"/>
        <w:rPr>
          <w:rFonts w:ascii="Arial" w:hAnsi="Arial" w:cs="Arial"/>
        </w:rPr>
      </w:pPr>
    </w:p>
    <w:p w14:paraId="2D679701" w14:textId="29C9C113" w:rsidR="00E54207" w:rsidRDefault="00E54207" w:rsidP="00940654">
      <w:pPr>
        <w:pStyle w:val="MainText"/>
        <w:numPr>
          <w:ilvl w:val="0"/>
          <w:numId w:val="18"/>
        </w:numPr>
        <w:spacing w:line="240" w:lineRule="auto"/>
        <w:jc w:val="both"/>
        <w:rPr>
          <w:rFonts w:ascii="Arial" w:hAnsi="Arial" w:cs="Arial"/>
        </w:rPr>
      </w:pPr>
      <w:r>
        <w:rPr>
          <w:rFonts w:ascii="Arial" w:hAnsi="Arial" w:cs="Arial"/>
        </w:rPr>
        <w:t xml:space="preserve">However, </w:t>
      </w:r>
      <w:r w:rsidR="00EE6097">
        <w:rPr>
          <w:rFonts w:ascii="Arial" w:hAnsi="Arial" w:cs="Arial"/>
        </w:rPr>
        <w:t xml:space="preserve">as in 2016/17, </w:t>
      </w:r>
      <w:r>
        <w:rPr>
          <w:rFonts w:ascii="Arial" w:hAnsi="Arial" w:cs="Arial"/>
        </w:rPr>
        <w:t xml:space="preserve">shire districts </w:t>
      </w:r>
      <w:r w:rsidR="00EE6097">
        <w:rPr>
          <w:rFonts w:ascii="Arial" w:hAnsi="Arial" w:cs="Arial"/>
        </w:rPr>
        <w:t xml:space="preserve">will be able </w:t>
      </w:r>
      <w:r>
        <w:rPr>
          <w:rFonts w:ascii="Arial" w:hAnsi="Arial" w:cs="Arial"/>
        </w:rPr>
        <w:t>to increase the Band D charge by up to, a</w:t>
      </w:r>
      <w:r w:rsidRPr="00E54207">
        <w:rPr>
          <w:rFonts w:ascii="Arial" w:hAnsi="Arial" w:cs="Arial"/>
        </w:rPr>
        <w:t>nd including</w:t>
      </w:r>
      <w:r>
        <w:rPr>
          <w:rFonts w:ascii="Arial" w:hAnsi="Arial" w:cs="Arial"/>
        </w:rPr>
        <w:t>,</w:t>
      </w:r>
      <w:r w:rsidRPr="00E54207">
        <w:rPr>
          <w:rFonts w:ascii="Arial" w:hAnsi="Arial" w:cs="Arial"/>
        </w:rPr>
        <w:t xml:space="preserve"> £5</w:t>
      </w:r>
      <w:r>
        <w:rPr>
          <w:rFonts w:ascii="Arial" w:hAnsi="Arial" w:cs="Arial"/>
        </w:rPr>
        <w:t xml:space="preserve">, </w:t>
      </w:r>
      <w:r w:rsidRPr="00E54207">
        <w:rPr>
          <w:rFonts w:ascii="Arial" w:hAnsi="Arial" w:cs="Arial"/>
        </w:rPr>
        <w:t>or up to 2 per cent, whichever is higher.</w:t>
      </w:r>
      <w:r>
        <w:rPr>
          <w:rFonts w:ascii="Arial" w:hAnsi="Arial" w:cs="Arial"/>
        </w:rPr>
        <w:t xml:space="preserve"> </w:t>
      </w:r>
      <w:r w:rsidR="00EE637C">
        <w:rPr>
          <w:rFonts w:ascii="Arial" w:hAnsi="Arial" w:cs="Arial"/>
        </w:rPr>
        <w:t xml:space="preserve">Those </w:t>
      </w:r>
      <w:r>
        <w:rPr>
          <w:rFonts w:ascii="Arial" w:hAnsi="Arial" w:cs="Arial"/>
        </w:rPr>
        <w:t>Police and Crime Commissioners with council tax charge</w:t>
      </w:r>
      <w:r w:rsidR="00EE637C">
        <w:rPr>
          <w:rFonts w:ascii="Arial" w:hAnsi="Arial" w:cs="Arial"/>
        </w:rPr>
        <w:t>s in the lowest quartile</w:t>
      </w:r>
      <w:r w:rsidR="00EE6097">
        <w:rPr>
          <w:rFonts w:ascii="Arial" w:hAnsi="Arial" w:cs="Arial"/>
        </w:rPr>
        <w:t xml:space="preserve"> will have similar flexibility.</w:t>
      </w:r>
    </w:p>
    <w:p w14:paraId="4AAC3ECD" w14:textId="77777777" w:rsidR="0035235A" w:rsidRDefault="0035235A" w:rsidP="002B2786">
      <w:pPr>
        <w:pStyle w:val="MainText"/>
        <w:spacing w:line="240" w:lineRule="auto"/>
        <w:ind w:left="720"/>
        <w:jc w:val="both"/>
        <w:rPr>
          <w:rFonts w:ascii="Arial" w:hAnsi="Arial" w:cs="Arial"/>
        </w:rPr>
      </w:pPr>
    </w:p>
    <w:p w14:paraId="588D2831" w14:textId="0BE8C4D2" w:rsidR="00E54207" w:rsidRDefault="00E54207" w:rsidP="00940654">
      <w:pPr>
        <w:pStyle w:val="MainText"/>
        <w:numPr>
          <w:ilvl w:val="0"/>
          <w:numId w:val="18"/>
        </w:numPr>
        <w:spacing w:line="240" w:lineRule="auto"/>
        <w:jc w:val="both"/>
        <w:rPr>
          <w:rFonts w:ascii="Arial" w:hAnsi="Arial" w:cs="Arial"/>
        </w:rPr>
      </w:pPr>
      <w:r>
        <w:rPr>
          <w:rFonts w:ascii="Arial" w:hAnsi="Arial" w:cs="Arial"/>
        </w:rPr>
        <w:t>Authorities with adult soc</w:t>
      </w:r>
      <w:r w:rsidR="0035235A">
        <w:rPr>
          <w:rFonts w:ascii="Arial" w:hAnsi="Arial" w:cs="Arial"/>
        </w:rPr>
        <w:t xml:space="preserve">ial care responsibilities will </w:t>
      </w:r>
      <w:r>
        <w:rPr>
          <w:rFonts w:ascii="Arial" w:hAnsi="Arial" w:cs="Arial"/>
        </w:rPr>
        <w:t>be able to charge an additional 2 per cent increases for adult social</w:t>
      </w:r>
      <w:r w:rsidR="0035235A">
        <w:rPr>
          <w:rFonts w:ascii="Arial" w:hAnsi="Arial" w:cs="Arial"/>
        </w:rPr>
        <w:t xml:space="preserve"> care services, as in 201</w:t>
      </w:r>
      <w:r w:rsidR="00EE6097">
        <w:rPr>
          <w:rFonts w:ascii="Arial" w:hAnsi="Arial" w:cs="Arial"/>
        </w:rPr>
        <w:t>6</w:t>
      </w:r>
      <w:r w:rsidR="0035235A">
        <w:rPr>
          <w:rFonts w:ascii="Arial" w:hAnsi="Arial" w:cs="Arial"/>
        </w:rPr>
        <w:t>/1</w:t>
      </w:r>
      <w:r w:rsidR="00EE6097">
        <w:rPr>
          <w:rFonts w:ascii="Arial" w:hAnsi="Arial" w:cs="Arial"/>
        </w:rPr>
        <w:t>7</w:t>
      </w:r>
      <w:r w:rsidR="0035235A">
        <w:rPr>
          <w:rFonts w:ascii="Arial" w:hAnsi="Arial" w:cs="Arial"/>
        </w:rPr>
        <w:t>.</w:t>
      </w:r>
    </w:p>
    <w:p w14:paraId="24878130" w14:textId="77777777" w:rsidR="0035235A" w:rsidRDefault="0035235A" w:rsidP="002B2786">
      <w:pPr>
        <w:pStyle w:val="MainText"/>
        <w:spacing w:line="240" w:lineRule="auto"/>
        <w:ind w:left="720"/>
        <w:jc w:val="both"/>
        <w:rPr>
          <w:rFonts w:ascii="Arial" w:hAnsi="Arial" w:cs="Arial"/>
        </w:rPr>
      </w:pPr>
    </w:p>
    <w:p w14:paraId="304210E1" w14:textId="12C1E72C" w:rsidR="0035235A" w:rsidRDefault="0035235A" w:rsidP="00940654">
      <w:pPr>
        <w:pStyle w:val="MainText"/>
        <w:numPr>
          <w:ilvl w:val="0"/>
          <w:numId w:val="18"/>
        </w:numPr>
        <w:spacing w:line="240" w:lineRule="auto"/>
        <w:jc w:val="both"/>
        <w:rPr>
          <w:rFonts w:ascii="Arial" w:hAnsi="Arial" w:cs="Arial"/>
        </w:rPr>
      </w:pPr>
      <w:r w:rsidRPr="00E54207">
        <w:rPr>
          <w:rFonts w:ascii="Arial" w:hAnsi="Arial" w:cs="Arial"/>
        </w:rPr>
        <w:t xml:space="preserve">For the first time, </w:t>
      </w:r>
      <w:r>
        <w:rPr>
          <w:rFonts w:ascii="Arial" w:hAnsi="Arial" w:cs="Arial"/>
        </w:rPr>
        <w:t xml:space="preserve">DCLG is also proposing that </w:t>
      </w:r>
      <w:r w:rsidRPr="00E54207">
        <w:rPr>
          <w:rFonts w:ascii="Arial" w:hAnsi="Arial" w:cs="Arial"/>
        </w:rPr>
        <w:t>referendum principles will apply to town and parish councils for which the Band D charge is higher than £75.46</w:t>
      </w:r>
      <w:r>
        <w:rPr>
          <w:rFonts w:ascii="Arial" w:hAnsi="Arial" w:cs="Arial"/>
        </w:rPr>
        <w:t xml:space="preserve"> (the lowest Band D charge by a district council)</w:t>
      </w:r>
      <w:r w:rsidRPr="0035235A">
        <w:rPr>
          <w:rFonts w:ascii="Arial" w:hAnsi="Arial" w:cs="Arial"/>
        </w:rPr>
        <w:t xml:space="preserve"> </w:t>
      </w:r>
      <w:r w:rsidRPr="00E54207">
        <w:rPr>
          <w:rFonts w:ascii="Arial" w:hAnsi="Arial" w:cs="Arial"/>
        </w:rPr>
        <w:t xml:space="preserve">and the total precept </w:t>
      </w:r>
      <w:r>
        <w:rPr>
          <w:rFonts w:ascii="Arial" w:hAnsi="Arial" w:cs="Arial"/>
        </w:rPr>
        <w:t xml:space="preserve">raises </w:t>
      </w:r>
      <w:r w:rsidRPr="00E54207">
        <w:rPr>
          <w:rFonts w:ascii="Arial" w:hAnsi="Arial" w:cs="Arial"/>
        </w:rPr>
        <w:t>over £500,000.</w:t>
      </w:r>
      <w:r w:rsidRPr="0035235A">
        <w:rPr>
          <w:rFonts w:ascii="Arial" w:hAnsi="Arial" w:cs="Arial"/>
        </w:rPr>
        <w:t xml:space="preserve"> </w:t>
      </w:r>
      <w:r w:rsidRPr="00E54207">
        <w:rPr>
          <w:rFonts w:ascii="Arial" w:hAnsi="Arial" w:cs="Arial"/>
        </w:rPr>
        <w:t>However, those town and parish councils where a service had been transferred from a local authority would not be subject to the referendum principle, providing certain conditions are satisfied.</w:t>
      </w:r>
      <w:r w:rsidRPr="0035235A">
        <w:rPr>
          <w:rFonts w:ascii="Arial" w:hAnsi="Arial" w:cs="Arial"/>
        </w:rPr>
        <w:t xml:space="preserve"> </w:t>
      </w:r>
      <w:r w:rsidRPr="00E54207">
        <w:rPr>
          <w:rFonts w:ascii="Arial" w:hAnsi="Arial" w:cs="Arial"/>
        </w:rPr>
        <w:t>The Government is also prepared to consider extending the referendum principles to all town and parish councils.</w:t>
      </w:r>
    </w:p>
    <w:p w14:paraId="15CB02F5" w14:textId="7C087AA5" w:rsidR="0035235A" w:rsidRDefault="0035235A" w:rsidP="0035235A">
      <w:pPr>
        <w:pStyle w:val="MainText"/>
        <w:ind w:left="360"/>
        <w:jc w:val="both"/>
        <w:rPr>
          <w:rFonts w:ascii="Arial" w:hAnsi="Arial" w:cs="Arial"/>
        </w:rPr>
      </w:pPr>
    </w:p>
    <w:p w14:paraId="69182D4C" w14:textId="77777777" w:rsidR="00E354E5" w:rsidRDefault="00E354E5">
      <w:pPr>
        <w:rPr>
          <w:rFonts w:ascii="Arial" w:hAnsi="Arial" w:cs="Arial"/>
          <w:b/>
        </w:rPr>
      </w:pPr>
      <w:r>
        <w:rPr>
          <w:rFonts w:ascii="Arial" w:hAnsi="Arial" w:cs="Arial"/>
          <w:b/>
        </w:rPr>
        <w:br w:type="page"/>
      </w:r>
    </w:p>
    <w:p w14:paraId="607D8186" w14:textId="33CA0B16" w:rsidR="00E54207" w:rsidRDefault="00E54207" w:rsidP="00940654">
      <w:pPr>
        <w:pStyle w:val="MainText"/>
        <w:jc w:val="both"/>
        <w:rPr>
          <w:rFonts w:ascii="Arial" w:hAnsi="Arial" w:cs="Arial"/>
          <w:b/>
        </w:rPr>
      </w:pPr>
      <w:r w:rsidRPr="0035235A">
        <w:rPr>
          <w:rFonts w:ascii="Arial" w:hAnsi="Arial" w:cs="Arial"/>
          <w:b/>
        </w:rPr>
        <w:lastRenderedPageBreak/>
        <w:t>Business Rates Revaluation Adjustment</w:t>
      </w:r>
    </w:p>
    <w:p w14:paraId="02DAD43E" w14:textId="77777777" w:rsidR="0035235A" w:rsidRDefault="0035235A" w:rsidP="00E54207">
      <w:pPr>
        <w:pStyle w:val="MainText"/>
        <w:jc w:val="both"/>
        <w:rPr>
          <w:rFonts w:ascii="Arial" w:hAnsi="Arial" w:cs="Arial"/>
          <w:b/>
        </w:rPr>
      </w:pPr>
    </w:p>
    <w:p w14:paraId="0380514C" w14:textId="27E5555A" w:rsidR="0035235A" w:rsidRDefault="0035235A" w:rsidP="00940654">
      <w:pPr>
        <w:pStyle w:val="ListParagraph"/>
        <w:numPr>
          <w:ilvl w:val="0"/>
          <w:numId w:val="18"/>
        </w:numPr>
        <w:rPr>
          <w:rFonts w:ascii="Arial" w:hAnsi="Arial" w:cs="Arial"/>
        </w:rPr>
      </w:pPr>
      <w:r w:rsidRPr="0035235A">
        <w:rPr>
          <w:rFonts w:ascii="Arial" w:hAnsi="Arial" w:cs="Arial"/>
        </w:rPr>
        <w:t>A new valuation list for non-domestic properties takes effect from April 2017</w:t>
      </w:r>
      <w:r>
        <w:rPr>
          <w:rFonts w:ascii="Arial" w:hAnsi="Arial" w:cs="Arial"/>
        </w:rPr>
        <w:t>.</w:t>
      </w:r>
      <w:r w:rsidRPr="0035235A">
        <w:t xml:space="preserve"> </w:t>
      </w:r>
      <w:r w:rsidRPr="0035235A">
        <w:rPr>
          <w:rFonts w:ascii="Arial" w:hAnsi="Arial" w:cs="Arial"/>
        </w:rPr>
        <w:t>Business rates valuations are normally carried out every five years, although, exceptionally, the revaluation scheduled for 2015 was postponed until 2017. Revaluation involves assessing a property to ensure that economic changes in property values are reflected in rateable value. Between revaluations rateable values only change, other than for inflation, as a result of appeals or physical changes to the property or location</w:t>
      </w:r>
      <w:r w:rsidR="004B27D6">
        <w:rPr>
          <w:rFonts w:ascii="Arial" w:hAnsi="Arial" w:cs="Arial"/>
        </w:rPr>
        <w:t>.</w:t>
      </w:r>
    </w:p>
    <w:p w14:paraId="09A55CCA" w14:textId="77777777" w:rsidR="004B27D6" w:rsidRPr="0035235A" w:rsidRDefault="004B27D6" w:rsidP="004B27D6">
      <w:pPr>
        <w:pStyle w:val="ListParagraph"/>
        <w:rPr>
          <w:rFonts w:ascii="Arial" w:hAnsi="Arial" w:cs="Arial"/>
        </w:rPr>
      </w:pPr>
    </w:p>
    <w:p w14:paraId="5EE7622C" w14:textId="0515EBCE" w:rsidR="004B27D6" w:rsidRDefault="004B27D6" w:rsidP="00940654">
      <w:pPr>
        <w:pStyle w:val="MainText"/>
        <w:numPr>
          <w:ilvl w:val="0"/>
          <w:numId w:val="18"/>
        </w:numPr>
        <w:jc w:val="both"/>
        <w:rPr>
          <w:rFonts w:ascii="Arial" w:hAnsi="Arial" w:cs="Arial"/>
        </w:rPr>
      </w:pPr>
      <w:r>
        <w:rPr>
          <w:rFonts w:ascii="Arial" w:hAnsi="Arial" w:cs="Arial"/>
        </w:rPr>
        <w:t>T</w:t>
      </w:r>
      <w:r w:rsidRPr="004B27D6">
        <w:rPr>
          <w:rFonts w:ascii="Arial" w:hAnsi="Arial" w:cs="Arial"/>
        </w:rPr>
        <w:t xml:space="preserve">he </w:t>
      </w:r>
      <w:r w:rsidR="0035235A" w:rsidRPr="004B27D6">
        <w:rPr>
          <w:rFonts w:ascii="Arial" w:hAnsi="Arial" w:cs="Arial"/>
        </w:rPr>
        <w:t xml:space="preserve">revaluation </w:t>
      </w:r>
      <w:r w:rsidRPr="004B27D6">
        <w:rPr>
          <w:rFonts w:ascii="Arial" w:hAnsi="Arial" w:cs="Arial"/>
        </w:rPr>
        <w:t xml:space="preserve">will have </w:t>
      </w:r>
      <w:r w:rsidR="0035235A" w:rsidRPr="00E54207">
        <w:rPr>
          <w:rFonts w:ascii="Arial" w:hAnsi="Arial" w:cs="Arial"/>
        </w:rPr>
        <w:t xml:space="preserve">the </w:t>
      </w:r>
      <w:r>
        <w:rPr>
          <w:rFonts w:ascii="Arial" w:hAnsi="Arial" w:cs="Arial"/>
        </w:rPr>
        <w:t xml:space="preserve">effect of altering the </w:t>
      </w:r>
      <w:r w:rsidR="0035235A" w:rsidRPr="00E54207">
        <w:rPr>
          <w:rFonts w:ascii="Arial" w:hAnsi="Arial" w:cs="Arial"/>
        </w:rPr>
        <w:t xml:space="preserve">business rates income all </w:t>
      </w:r>
      <w:r>
        <w:rPr>
          <w:rFonts w:ascii="Arial" w:hAnsi="Arial" w:cs="Arial"/>
        </w:rPr>
        <w:t xml:space="preserve">local </w:t>
      </w:r>
      <w:r w:rsidR="0035235A" w:rsidRPr="00E54207">
        <w:rPr>
          <w:rFonts w:ascii="Arial" w:hAnsi="Arial" w:cs="Arial"/>
        </w:rPr>
        <w:t>authorities</w:t>
      </w:r>
      <w:r w:rsidR="0035235A">
        <w:rPr>
          <w:rFonts w:ascii="Arial" w:hAnsi="Arial" w:cs="Arial"/>
        </w:rPr>
        <w:t xml:space="preserve"> receive</w:t>
      </w:r>
      <w:r>
        <w:rPr>
          <w:rFonts w:ascii="Arial" w:hAnsi="Arial" w:cs="Arial"/>
        </w:rPr>
        <w:t>. In the development of the 50 per cent rates retention system</w:t>
      </w:r>
      <w:r w:rsidR="007902E4">
        <w:rPr>
          <w:rFonts w:ascii="Arial" w:hAnsi="Arial" w:cs="Arial"/>
        </w:rPr>
        <w:t>,</w:t>
      </w:r>
      <w:r>
        <w:rPr>
          <w:rFonts w:ascii="Arial" w:hAnsi="Arial" w:cs="Arial"/>
        </w:rPr>
        <w:t xml:space="preserve"> the Government indicated that </w:t>
      </w:r>
      <w:r w:rsidRPr="00E54207">
        <w:rPr>
          <w:rFonts w:ascii="Arial" w:hAnsi="Arial" w:cs="Arial"/>
        </w:rPr>
        <w:t xml:space="preserve">tariffs and top-up would be adjusted following a revaluation, to ensure, as far as </w:t>
      </w:r>
      <w:r>
        <w:rPr>
          <w:rFonts w:ascii="Arial" w:hAnsi="Arial" w:cs="Arial"/>
        </w:rPr>
        <w:t>possible</w:t>
      </w:r>
      <w:r w:rsidRPr="00E54207">
        <w:rPr>
          <w:rFonts w:ascii="Arial" w:hAnsi="Arial" w:cs="Arial"/>
        </w:rPr>
        <w:t>, that authorities’ retained income is the same after revaluation as immediately before.</w:t>
      </w:r>
    </w:p>
    <w:p w14:paraId="4BBD3028" w14:textId="77777777" w:rsidR="004B27D6" w:rsidRDefault="004B27D6" w:rsidP="004B27D6">
      <w:pPr>
        <w:pStyle w:val="ListParagraph"/>
        <w:rPr>
          <w:rFonts w:ascii="Arial" w:hAnsi="Arial" w:cs="Arial"/>
        </w:rPr>
      </w:pPr>
    </w:p>
    <w:p w14:paraId="2325BBC6" w14:textId="77777777" w:rsidR="004B27D6" w:rsidRDefault="004B27D6" w:rsidP="00940654">
      <w:pPr>
        <w:pStyle w:val="MainText"/>
        <w:numPr>
          <w:ilvl w:val="0"/>
          <w:numId w:val="18"/>
        </w:numPr>
        <w:jc w:val="both"/>
        <w:rPr>
          <w:rFonts w:ascii="Arial" w:hAnsi="Arial" w:cs="Arial"/>
        </w:rPr>
      </w:pPr>
      <w:r>
        <w:rPr>
          <w:rFonts w:ascii="Arial" w:hAnsi="Arial" w:cs="Arial"/>
        </w:rPr>
        <w:t xml:space="preserve">The consultation paper proposes a detailed methodology for </w:t>
      </w:r>
      <w:r w:rsidRPr="00E54207">
        <w:rPr>
          <w:rFonts w:ascii="Arial" w:hAnsi="Arial" w:cs="Arial"/>
        </w:rPr>
        <w:t>identify</w:t>
      </w:r>
      <w:r>
        <w:rPr>
          <w:rFonts w:ascii="Arial" w:hAnsi="Arial" w:cs="Arial"/>
        </w:rPr>
        <w:t>ing</w:t>
      </w:r>
      <w:r w:rsidRPr="00E54207">
        <w:rPr>
          <w:rFonts w:ascii="Arial" w:hAnsi="Arial" w:cs="Arial"/>
        </w:rPr>
        <w:t xml:space="preserve"> and isolat</w:t>
      </w:r>
      <w:r>
        <w:rPr>
          <w:rFonts w:ascii="Arial" w:hAnsi="Arial" w:cs="Arial"/>
        </w:rPr>
        <w:t>ing</w:t>
      </w:r>
      <w:r w:rsidRPr="00E54207">
        <w:rPr>
          <w:rFonts w:ascii="Arial" w:hAnsi="Arial" w:cs="Arial"/>
        </w:rPr>
        <w:t xml:space="preserve"> the amount by which business rates income in the authority will change </w:t>
      </w:r>
      <w:r>
        <w:rPr>
          <w:rFonts w:ascii="Arial" w:hAnsi="Arial" w:cs="Arial"/>
        </w:rPr>
        <w:t>solely</w:t>
      </w:r>
      <w:r w:rsidRPr="00E54207">
        <w:rPr>
          <w:rFonts w:ascii="Arial" w:hAnsi="Arial" w:cs="Arial"/>
        </w:rPr>
        <w:t xml:space="preserve"> </w:t>
      </w:r>
      <w:r>
        <w:rPr>
          <w:rFonts w:ascii="Arial" w:hAnsi="Arial" w:cs="Arial"/>
        </w:rPr>
        <w:t>as a result of</w:t>
      </w:r>
      <w:r w:rsidRPr="00E54207">
        <w:rPr>
          <w:rFonts w:ascii="Arial" w:hAnsi="Arial" w:cs="Arial"/>
        </w:rPr>
        <w:t xml:space="preserve"> the revaluation</w:t>
      </w:r>
      <w:r>
        <w:rPr>
          <w:rFonts w:ascii="Arial" w:hAnsi="Arial" w:cs="Arial"/>
        </w:rPr>
        <w:t xml:space="preserve">. DCLG proposes to use </w:t>
      </w:r>
      <w:r w:rsidRPr="00E54207">
        <w:rPr>
          <w:rFonts w:ascii="Arial" w:hAnsi="Arial" w:cs="Arial"/>
        </w:rPr>
        <w:t>these figures to adjust tariffs/top-ups in order to cancel out the impact of revaluation.</w:t>
      </w:r>
    </w:p>
    <w:p w14:paraId="79A163C2" w14:textId="77777777" w:rsidR="004B27D6" w:rsidRDefault="004B27D6" w:rsidP="004B27D6">
      <w:pPr>
        <w:pStyle w:val="ListParagraph"/>
        <w:rPr>
          <w:rFonts w:ascii="Arial" w:hAnsi="Arial" w:cs="Arial"/>
        </w:rPr>
      </w:pPr>
    </w:p>
    <w:p w14:paraId="21510FF4" w14:textId="77777777" w:rsidR="004B27D6" w:rsidRPr="004B27D6" w:rsidRDefault="004B27D6" w:rsidP="00940654">
      <w:pPr>
        <w:pStyle w:val="MainText"/>
        <w:jc w:val="both"/>
        <w:rPr>
          <w:rFonts w:ascii="Arial" w:hAnsi="Arial" w:cs="Arial"/>
          <w:b/>
        </w:rPr>
      </w:pPr>
      <w:r w:rsidRPr="004B27D6">
        <w:rPr>
          <w:rFonts w:ascii="Arial" w:hAnsi="Arial" w:cs="Arial"/>
          <w:b/>
        </w:rPr>
        <w:t>Adjustments to business rates in areas piloting 100 per business rates retention</w:t>
      </w:r>
    </w:p>
    <w:p w14:paraId="0CF9C8C1" w14:textId="77777777" w:rsidR="004B27D6" w:rsidRDefault="004B27D6" w:rsidP="004B27D6">
      <w:pPr>
        <w:pStyle w:val="MainText"/>
        <w:ind w:left="720"/>
        <w:jc w:val="both"/>
        <w:rPr>
          <w:rFonts w:ascii="Arial" w:hAnsi="Arial" w:cs="Arial"/>
        </w:rPr>
      </w:pPr>
    </w:p>
    <w:p w14:paraId="65974CFB" w14:textId="15B327AB" w:rsidR="004B27D6" w:rsidRDefault="004B27D6" w:rsidP="00940654">
      <w:pPr>
        <w:pStyle w:val="MainText"/>
        <w:numPr>
          <w:ilvl w:val="0"/>
          <w:numId w:val="18"/>
        </w:numPr>
        <w:jc w:val="both"/>
        <w:rPr>
          <w:rFonts w:ascii="Arial" w:hAnsi="Arial" w:cs="Arial"/>
        </w:rPr>
      </w:pPr>
      <w:r>
        <w:rPr>
          <w:rFonts w:ascii="Arial" w:hAnsi="Arial" w:cs="Arial"/>
        </w:rPr>
        <w:t>In the 2015 Autumn Statement the Government announced London, Manchester and Liverpool would pilot</w:t>
      </w:r>
      <w:r w:rsidRPr="00E54207">
        <w:rPr>
          <w:rFonts w:ascii="Arial" w:hAnsi="Arial" w:cs="Arial"/>
        </w:rPr>
        <w:t xml:space="preserve"> approaches to 100 per cent business rates retention</w:t>
      </w:r>
      <w:r>
        <w:rPr>
          <w:rFonts w:ascii="Arial" w:hAnsi="Arial" w:cs="Arial"/>
        </w:rPr>
        <w:t xml:space="preserve"> from April 2017. Pilot areas </w:t>
      </w:r>
      <w:r w:rsidRPr="00E54207">
        <w:rPr>
          <w:rFonts w:ascii="Arial" w:hAnsi="Arial" w:cs="Arial"/>
        </w:rPr>
        <w:t>will test mechanisms for the full roll-out, including ending entitlement to certain grants, devolving additional responsibilities and adjusting existing business rate tariffs and top</w:t>
      </w:r>
      <w:r>
        <w:rPr>
          <w:rFonts w:ascii="Arial" w:hAnsi="Arial" w:cs="Arial"/>
        </w:rPr>
        <w:t>-</w:t>
      </w:r>
      <w:r w:rsidRPr="00E54207">
        <w:rPr>
          <w:rFonts w:ascii="Arial" w:hAnsi="Arial" w:cs="Arial"/>
        </w:rPr>
        <w:t>ups.</w:t>
      </w:r>
    </w:p>
    <w:p w14:paraId="7C47177F" w14:textId="77777777" w:rsidR="004B27D6" w:rsidRDefault="004B27D6" w:rsidP="004B27D6">
      <w:pPr>
        <w:pStyle w:val="MainText"/>
        <w:ind w:left="720"/>
        <w:jc w:val="both"/>
        <w:rPr>
          <w:rFonts w:ascii="Arial" w:hAnsi="Arial" w:cs="Arial"/>
        </w:rPr>
      </w:pPr>
    </w:p>
    <w:p w14:paraId="4A0EF3E4" w14:textId="49EF1C75" w:rsidR="004B27D6" w:rsidRDefault="004B27D6" w:rsidP="00940654">
      <w:pPr>
        <w:pStyle w:val="MainText"/>
        <w:numPr>
          <w:ilvl w:val="0"/>
          <w:numId w:val="18"/>
        </w:numPr>
        <w:jc w:val="both"/>
        <w:rPr>
          <w:rFonts w:ascii="Arial" w:hAnsi="Arial" w:cs="Arial"/>
        </w:rPr>
      </w:pPr>
      <w:r w:rsidRPr="00E54207">
        <w:rPr>
          <w:rFonts w:ascii="Arial" w:hAnsi="Arial" w:cs="Arial"/>
        </w:rPr>
        <w:t>The methodology for calculating changes in the local share of retained business rates and the level of tariff and top ups</w:t>
      </w:r>
      <w:r w:rsidRPr="004B27D6">
        <w:rPr>
          <w:rFonts w:ascii="Arial" w:hAnsi="Arial" w:cs="Arial"/>
        </w:rPr>
        <w:t xml:space="preserve"> </w:t>
      </w:r>
      <w:r w:rsidRPr="00E54207">
        <w:rPr>
          <w:rFonts w:ascii="Arial" w:hAnsi="Arial" w:cs="Arial"/>
        </w:rPr>
        <w:t>agreed in pilot areas</w:t>
      </w:r>
      <w:r w:rsidR="006B28C9" w:rsidRPr="006B28C9">
        <w:rPr>
          <w:rFonts w:ascii="Arial" w:hAnsi="Arial" w:cs="Arial"/>
        </w:rPr>
        <w:t xml:space="preserve"> </w:t>
      </w:r>
      <w:r w:rsidR="006B28C9" w:rsidRPr="00E54207">
        <w:rPr>
          <w:rFonts w:ascii="Arial" w:hAnsi="Arial" w:cs="Arial"/>
        </w:rPr>
        <w:t>is</w:t>
      </w:r>
      <w:r w:rsidR="007902E4">
        <w:rPr>
          <w:rFonts w:ascii="Arial" w:hAnsi="Arial" w:cs="Arial"/>
        </w:rPr>
        <w:t xml:space="preserve"> outlined in the consultation paper. It is</w:t>
      </w:r>
      <w:r w:rsidR="006B28C9" w:rsidRPr="00E54207">
        <w:rPr>
          <w:rFonts w:ascii="Arial" w:hAnsi="Arial" w:cs="Arial"/>
        </w:rPr>
        <w:t xml:space="preserve"> designed to ensure that no authorities </w:t>
      </w:r>
      <w:r w:rsidR="006B28C9">
        <w:rPr>
          <w:rFonts w:ascii="Arial" w:hAnsi="Arial" w:cs="Arial"/>
        </w:rPr>
        <w:t>elsewhere</w:t>
      </w:r>
      <w:r w:rsidR="006B28C9" w:rsidRPr="00E54207">
        <w:rPr>
          <w:rFonts w:ascii="Arial" w:hAnsi="Arial" w:cs="Arial"/>
        </w:rPr>
        <w:t xml:space="preserve"> in the countr</w:t>
      </w:r>
      <w:r w:rsidR="007902E4">
        <w:rPr>
          <w:rFonts w:ascii="Arial" w:hAnsi="Arial" w:cs="Arial"/>
        </w:rPr>
        <w:t>y are adversely affected by the</w:t>
      </w:r>
      <w:r w:rsidR="006B28C9" w:rsidRPr="00E54207">
        <w:rPr>
          <w:rFonts w:ascii="Arial" w:hAnsi="Arial" w:cs="Arial"/>
        </w:rPr>
        <w:t xml:space="preserve"> pilots.</w:t>
      </w:r>
    </w:p>
    <w:p w14:paraId="72752B1A" w14:textId="77777777" w:rsidR="004B27D6" w:rsidRDefault="004B27D6" w:rsidP="004B27D6">
      <w:pPr>
        <w:pStyle w:val="ListParagraph"/>
        <w:rPr>
          <w:rFonts w:ascii="Arial" w:hAnsi="Arial" w:cs="Arial"/>
        </w:rPr>
      </w:pPr>
    </w:p>
    <w:p w14:paraId="4398F065" w14:textId="77777777" w:rsidR="004B27D6" w:rsidRDefault="004B27D6" w:rsidP="00940654">
      <w:pPr>
        <w:pStyle w:val="MainText"/>
        <w:jc w:val="both"/>
        <w:rPr>
          <w:rFonts w:ascii="Arial" w:hAnsi="Arial" w:cs="Arial"/>
          <w:b/>
        </w:rPr>
      </w:pPr>
      <w:r w:rsidRPr="00FB06EB">
        <w:rPr>
          <w:rFonts w:ascii="Arial" w:hAnsi="Arial" w:cs="Arial"/>
          <w:b/>
        </w:rPr>
        <w:t xml:space="preserve">Voluntary transfers of funding to Mayoral Combined Authorities </w:t>
      </w:r>
    </w:p>
    <w:p w14:paraId="75034741" w14:textId="77777777" w:rsidR="00641F41" w:rsidRPr="00FB06EB" w:rsidRDefault="00641F41" w:rsidP="00FB06EB">
      <w:pPr>
        <w:pStyle w:val="MainText"/>
        <w:jc w:val="both"/>
        <w:rPr>
          <w:rFonts w:ascii="Arial" w:hAnsi="Arial" w:cs="Arial"/>
          <w:b/>
        </w:rPr>
      </w:pPr>
    </w:p>
    <w:p w14:paraId="44D8A865" w14:textId="77777777" w:rsidR="00641F41" w:rsidRDefault="00641F41" w:rsidP="00940654">
      <w:pPr>
        <w:pStyle w:val="MainText"/>
        <w:numPr>
          <w:ilvl w:val="0"/>
          <w:numId w:val="18"/>
        </w:numPr>
        <w:jc w:val="both"/>
        <w:rPr>
          <w:rFonts w:ascii="Arial" w:hAnsi="Arial" w:cs="Arial"/>
        </w:rPr>
      </w:pPr>
      <w:r>
        <w:rPr>
          <w:rFonts w:ascii="Arial" w:hAnsi="Arial" w:cs="Arial"/>
        </w:rPr>
        <w:t>The consultation proposes allowing a</w:t>
      </w:r>
      <w:r w:rsidR="004B27D6" w:rsidRPr="00E54207">
        <w:rPr>
          <w:rFonts w:ascii="Arial" w:hAnsi="Arial" w:cs="Arial"/>
        </w:rPr>
        <w:t xml:space="preserve">reas with mayoral combined authorities </w:t>
      </w:r>
      <w:r>
        <w:rPr>
          <w:rFonts w:ascii="Arial" w:hAnsi="Arial" w:cs="Arial"/>
        </w:rPr>
        <w:t xml:space="preserve">the option to </w:t>
      </w:r>
      <w:r w:rsidRPr="00E54207">
        <w:rPr>
          <w:rFonts w:ascii="Arial" w:hAnsi="Arial" w:cs="Arial"/>
        </w:rPr>
        <w:t>request adjustment</w:t>
      </w:r>
      <w:r>
        <w:rPr>
          <w:rFonts w:ascii="Arial" w:hAnsi="Arial" w:cs="Arial"/>
        </w:rPr>
        <w:t>s</w:t>
      </w:r>
      <w:r w:rsidRPr="00E54207">
        <w:rPr>
          <w:rFonts w:ascii="Arial" w:hAnsi="Arial" w:cs="Arial"/>
        </w:rPr>
        <w:t xml:space="preserve"> to the calculation of grant and business rates payments, to reflect changes in the way existing duties are </w:t>
      </w:r>
      <w:r>
        <w:rPr>
          <w:rFonts w:ascii="Arial" w:hAnsi="Arial" w:cs="Arial"/>
        </w:rPr>
        <w:t xml:space="preserve">carried out by authorities. Any changes would be </w:t>
      </w:r>
      <w:r w:rsidRPr="00E54207">
        <w:rPr>
          <w:rFonts w:ascii="Arial" w:hAnsi="Arial" w:cs="Arial"/>
        </w:rPr>
        <w:t>subject to the agreement of all authorities affected by the changes.</w:t>
      </w:r>
      <w:r>
        <w:rPr>
          <w:rFonts w:ascii="Arial" w:hAnsi="Arial" w:cs="Arial"/>
        </w:rPr>
        <w:t xml:space="preserve"> The consultation seeks views on whether any combined authorities are seeking voluntary transfers.</w:t>
      </w:r>
    </w:p>
    <w:p w14:paraId="75A9A925" w14:textId="77777777" w:rsidR="00641F41" w:rsidRDefault="00641F41" w:rsidP="00641F41">
      <w:pPr>
        <w:pStyle w:val="MainText"/>
        <w:jc w:val="both"/>
        <w:rPr>
          <w:rFonts w:ascii="Arial" w:hAnsi="Arial" w:cs="Arial"/>
        </w:rPr>
      </w:pPr>
    </w:p>
    <w:p w14:paraId="291B1387" w14:textId="59ABB4C7" w:rsidR="00641F41" w:rsidRPr="00641F41" w:rsidRDefault="00EE637C" w:rsidP="00940654">
      <w:pPr>
        <w:pStyle w:val="MainText"/>
        <w:jc w:val="both"/>
        <w:rPr>
          <w:rFonts w:ascii="Arial" w:hAnsi="Arial" w:cs="Arial"/>
          <w:b/>
        </w:rPr>
      </w:pPr>
      <w:r w:rsidRPr="00641F41">
        <w:rPr>
          <w:rFonts w:ascii="Arial" w:hAnsi="Arial" w:cs="Arial"/>
          <w:b/>
        </w:rPr>
        <w:t>Consultation</w:t>
      </w:r>
      <w:r w:rsidR="00641F41" w:rsidRPr="00641F41">
        <w:rPr>
          <w:rFonts w:ascii="Arial" w:hAnsi="Arial" w:cs="Arial"/>
          <w:b/>
        </w:rPr>
        <w:t xml:space="preserve"> Process</w:t>
      </w:r>
    </w:p>
    <w:p w14:paraId="58793F93" w14:textId="77777777" w:rsidR="00641F41" w:rsidRDefault="00641F41" w:rsidP="00641F41">
      <w:pPr>
        <w:pStyle w:val="MainText"/>
        <w:jc w:val="both"/>
        <w:rPr>
          <w:rFonts w:ascii="Arial" w:hAnsi="Arial" w:cs="Arial"/>
        </w:rPr>
      </w:pPr>
    </w:p>
    <w:p w14:paraId="79B60F63" w14:textId="6F2162C3" w:rsidR="00641F41" w:rsidRDefault="00641F41" w:rsidP="00940654">
      <w:pPr>
        <w:pStyle w:val="MainText"/>
        <w:numPr>
          <w:ilvl w:val="0"/>
          <w:numId w:val="18"/>
        </w:numPr>
        <w:jc w:val="both"/>
        <w:rPr>
          <w:rFonts w:ascii="Arial" w:hAnsi="Arial" w:cs="Arial"/>
          <w:szCs w:val="22"/>
        </w:rPr>
      </w:pPr>
      <w:r>
        <w:rPr>
          <w:rFonts w:ascii="Arial" w:hAnsi="Arial" w:cs="Arial"/>
          <w:szCs w:val="22"/>
        </w:rPr>
        <w:t xml:space="preserve">The consultation runs for six weeks, closing on 28 October 2016. </w:t>
      </w:r>
      <w:r w:rsidR="00EE637C" w:rsidRPr="00641F41">
        <w:rPr>
          <w:rFonts w:ascii="Arial" w:hAnsi="Arial" w:cs="Arial"/>
          <w:szCs w:val="22"/>
        </w:rPr>
        <w:t>The LGA plans to submit a response to the consultation,</w:t>
      </w:r>
      <w:r w:rsidR="00EE637C">
        <w:rPr>
          <w:rFonts w:ascii="Arial" w:hAnsi="Arial" w:cs="Arial"/>
          <w:szCs w:val="22"/>
        </w:rPr>
        <w:t xml:space="preserve"> and has asked for </w:t>
      </w:r>
      <w:r w:rsidR="007902E4">
        <w:rPr>
          <w:rFonts w:ascii="Arial" w:hAnsi="Arial" w:cs="Arial"/>
          <w:szCs w:val="22"/>
        </w:rPr>
        <w:t>comments</w:t>
      </w:r>
      <w:r w:rsidR="00EE637C">
        <w:rPr>
          <w:rFonts w:ascii="Arial" w:hAnsi="Arial" w:cs="Arial"/>
          <w:szCs w:val="22"/>
        </w:rPr>
        <w:t xml:space="preserve"> from member authorities by 7 October. H</w:t>
      </w:r>
      <w:r w:rsidR="00EE637C" w:rsidRPr="00641F41">
        <w:rPr>
          <w:rFonts w:ascii="Arial" w:hAnsi="Arial" w:cs="Arial"/>
          <w:szCs w:val="22"/>
        </w:rPr>
        <w:t xml:space="preserve">owever, the six-week consultation period means the response will have to be submitted before the next Resources Board meeting. </w:t>
      </w:r>
    </w:p>
    <w:p w14:paraId="313F853F" w14:textId="77777777" w:rsidR="009E3FAC" w:rsidRDefault="009E3FAC">
      <w:pPr>
        <w:rPr>
          <w:rFonts w:ascii="Arial" w:hAnsi="Arial" w:cs="Arial"/>
          <w:b/>
          <w:szCs w:val="22"/>
        </w:rPr>
      </w:pPr>
      <w:bookmarkStart w:id="3" w:name="_GoBack"/>
      <w:bookmarkEnd w:id="3"/>
      <w:r>
        <w:rPr>
          <w:rFonts w:ascii="Arial" w:hAnsi="Arial" w:cs="Arial"/>
          <w:b/>
          <w:szCs w:val="22"/>
        </w:rPr>
        <w:br w:type="page"/>
      </w:r>
    </w:p>
    <w:p w14:paraId="7CE9BAA2" w14:textId="772A6A5E" w:rsidR="00EE637C" w:rsidRDefault="00EE637C" w:rsidP="00940654">
      <w:pPr>
        <w:pStyle w:val="MainText"/>
        <w:spacing w:line="240" w:lineRule="auto"/>
        <w:jc w:val="both"/>
        <w:rPr>
          <w:rFonts w:ascii="Arial" w:hAnsi="Arial" w:cs="Arial"/>
          <w:b/>
          <w:szCs w:val="22"/>
        </w:rPr>
      </w:pPr>
      <w:r w:rsidRPr="00A64607">
        <w:rPr>
          <w:rFonts w:ascii="Arial" w:hAnsi="Arial" w:cs="Arial"/>
          <w:b/>
          <w:szCs w:val="22"/>
        </w:rPr>
        <w:lastRenderedPageBreak/>
        <w:t>Recommendations</w:t>
      </w:r>
    </w:p>
    <w:p w14:paraId="51830303" w14:textId="77777777" w:rsidR="007640B3" w:rsidRPr="00A64607" w:rsidRDefault="007640B3" w:rsidP="00EE637C">
      <w:pPr>
        <w:pStyle w:val="MainText"/>
        <w:spacing w:line="240" w:lineRule="auto"/>
        <w:jc w:val="both"/>
        <w:rPr>
          <w:rFonts w:ascii="Arial" w:hAnsi="Arial" w:cs="Arial"/>
          <w:szCs w:val="22"/>
        </w:rPr>
      </w:pPr>
    </w:p>
    <w:p w14:paraId="1A53A126" w14:textId="77777777" w:rsidR="007640B3" w:rsidRDefault="007640B3" w:rsidP="00940654">
      <w:pPr>
        <w:pStyle w:val="MainText"/>
        <w:numPr>
          <w:ilvl w:val="0"/>
          <w:numId w:val="18"/>
        </w:numPr>
        <w:jc w:val="both"/>
        <w:rPr>
          <w:rFonts w:ascii="Arial" w:hAnsi="Arial" w:cs="Arial"/>
          <w:szCs w:val="22"/>
        </w:rPr>
      </w:pPr>
      <w:r w:rsidRPr="009B5B7E">
        <w:rPr>
          <w:rFonts w:ascii="Arial" w:hAnsi="Arial" w:cs="Arial"/>
          <w:szCs w:val="22"/>
        </w:rPr>
        <w:t xml:space="preserve">That members of the </w:t>
      </w:r>
      <w:r>
        <w:rPr>
          <w:rFonts w:ascii="Arial" w:hAnsi="Arial" w:cs="Arial"/>
          <w:szCs w:val="22"/>
        </w:rPr>
        <w:t>Resources Board provide their views on the proposals in the DCLG consultation paper to help inform the LGA’s response to the consultation.</w:t>
      </w:r>
    </w:p>
    <w:p w14:paraId="6C0D1E66" w14:textId="77777777" w:rsidR="00EE637C" w:rsidRDefault="00EE637C" w:rsidP="00EE637C">
      <w:pPr>
        <w:pStyle w:val="MainText"/>
        <w:spacing w:line="240" w:lineRule="auto"/>
        <w:jc w:val="both"/>
        <w:rPr>
          <w:rFonts w:ascii="Arial" w:hAnsi="Arial" w:cs="Arial"/>
          <w:szCs w:val="22"/>
        </w:rPr>
      </w:pPr>
    </w:p>
    <w:p w14:paraId="4E54187A" w14:textId="77777777" w:rsidR="00EE637C" w:rsidRPr="00A64607" w:rsidRDefault="00EE637C" w:rsidP="00940654">
      <w:pPr>
        <w:pStyle w:val="MainText"/>
        <w:spacing w:line="240" w:lineRule="auto"/>
        <w:jc w:val="both"/>
        <w:rPr>
          <w:rFonts w:ascii="Arial" w:hAnsi="Arial" w:cs="Arial"/>
          <w:szCs w:val="22"/>
        </w:rPr>
      </w:pPr>
      <w:r w:rsidRPr="00A64607">
        <w:rPr>
          <w:rFonts w:ascii="Arial" w:hAnsi="Arial" w:cs="Arial"/>
          <w:b/>
          <w:szCs w:val="22"/>
        </w:rPr>
        <w:t>Financial Implications</w:t>
      </w:r>
    </w:p>
    <w:p w14:paraId="0B3BF00B" w14:textId="77777777" w:rsidR="00EE637C" w:rsidRPr="00861239" w:rsidRDefault="00EE637C" w:rsidP="00EE637C">
      <w:pPr>
        <w:keepLines/>
        <w:spacing w:line="276" w:lineRule="auto"/>
        <w:jc w:val="both"/>
        <w:rPr>
          <w:rFonts w:ascii="Arial" w:hAnsi="Arial" w:cs="Arial"/>
          <w:b/>
          <w:szCs w:val="22"/>
        </w:rPr>
      </w:pPr>
    </w:p>
    <w:p w14:paraId="157482CE" w14:textId="77777777" w:rsidR="00EE637C" w:rsidRPr="00F44F92" w:rsidRDefault="00EE637C" w:rsidP="00940654">
      <w:pPr>
        <w:pStyle w:val="MainText"/>
        <w:numPr>
          <w:ilvl w:val="0"/>
          <w:numId w:val="18"/>
        </w:numPr>
        <w:jc w:val="both"/>
        <w:rPr>
          <w:rFonts w:ascii="Arial" w:hAnsi="Arial" w:cs="Arial"/>
          <w:szCs w:val="22"/>
        </w:rPr>
      </w:pPr>
      <w:r>
        <w:rPr>
          <w:rFonts w:ascii="Arial" w:hAnsi="Arial" w:cs="Arial"/>
          <w:szCs w:val="22"/>
        </w:rPr>
        <w:t xml:space="preserve">This is part of the LGA’s core programme of work and as such has been budgeted for. </w:t>
      </w:r>
    </w:p>
    <w:sectPr w:rsidR="00EE637C" w:rsidRPr="00F44F92" w:rsidSect="001E476B">
      <w:headerReference w:type="default" r:id="rId16"/>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F44D" w14:textId="77777777" w:rsidR="002452ED" w:rsidRDefault="002452ED">
      <w:r>
        <w:separator/>
      </w:r>
    </w:p>
  </w:endnote>
  <w:endnote w:type="continuationSeparator" w:id="0">
    <w:p w14:paraId="4FC524A1" w14:textId="77777777" w:rsidR="002452ED" w:rsidRDefault="0024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2452ED" w:rsidRDefault="002452ED">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77E0" w14:textId="77777777" w:rsidR="002452ED" w:rsidRDefault="002452ED">
      <w:r>
        <w:separator/>
      </w:r>
    </w:p>
  </w:footnote>
  <w:footnote w:type="continuationSeparator" w:id="0">
    <w:p w14:paraId="796F057B" w14:textId="77777777" w:rsidR="002452ED" w:rsidRDefault="0024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2452ED" w:rsidRPr="004F266E" w14:paraId="0FBCCF01" w14:textId="77777777" w:rsidTr="00680C82">
      <w:tc>
        <w:tcPr>
          <w:tcW w:w="5920" w:type="dxa"/>
          <w:vMerge w:val="restart"/>
          <w:shd w:val="clear" w:color="auto" w:fill="auto"/>
        </w:tcPr>
        <w:p w14:paraId="1A8A6E1C" w14:textId="77777777" w:rsidR="002452ED" w:rsidRPr="00374227" w:rsidRDefault="002452ED"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11DC0DDF" w:rsidR="002452ED" w:rsidRPr="00374227" w:rsidRDefault="002452ED" w:rsidP="00680C82">
          <w:pPr>
            <w:pStyle w:val="Header"/>
            <w:rPr>
              <w:rFonts w:ascii="Arial" w:hAnsi="Arial" w:cs="Arial"/>
              <w:b/>
              <w:szCs w:val="22"/>
            </w:rPr>
          </w:pPr>
          <w:r>
            <w:rPr>
              <w:rFonts w:ascii="Arial" w:hAnsi="Arial" w:cs="Arial"/>
              <w:b/>
              <w:szCs w:val="22"/>
            </w:rPr>
            <w:t>LGA Resources Board</w:t>
          </w:r>
        </w:p>
      </w:tc>
    </w:tr>
    <w:tr w:rsidR="002452ED" w14:paraId="358A5B83" w14:textId="77777777" w:rsidTr="00680C82">
      <w:trPr>
        <w:trHeight w:val="450"/>
      </w:trPr>
      <w:tc>
        <w:tcPr>
          <w:tcW w:w="5920" w:type="dxa"/>
          <w:vMerge/>
          <w:shd w:val="clear" w:color="auto" w:fill="auto"/>
        </w:tcPr>
        <w:p w14:paraId="595E0F03" w14:textId="77777777" w:rsidR="002452ED" w:rsidRPr="00374227" w:rsidRDefault="002452ED" w:rsidP="00680C82">
          <w:pPr>
            <w:pStyle w:val="Header"/>
          </w:pPr>
        </w:p>
      </w:tc>
      <w:tc>
        <w:tcPr>
          <w:tcW w:w="3260" w:type="dxa"/>
          <w:shd w:val="clear" w:color="auto" w:fill="auto"/>
          <w:vAlign w:val="center"/>
        </w:tcPr>
        <w:p w14:paraId="0872C208" w14:textId="4231594F" w:rsidR="002452ED" w:rsidRPr="00374227" w:rsidRDefault="002452ED" w:rsidP="00180849">
          <w:pPr>
            <w:pStyle w:val="Header"/>
            <w:spacing w:before="60"/>
            <w:rPr>
              <w:rFonts w:ascii="Arial" w:hAnsi="Arial" w:cs="Arial"/>
              <w:szCs w:val="22"/>
            </w:rPr>
          </w:pPr>
          <w:r>
            <w:rPr>
              <w:rFonts w:ascii="Arial" w:hAnsi="Arial" w:cs="Arial"/>
              <w:szCs w:val="22"/>
            </w:rPr>
            <w:t>23 September 2016</w:t>
          </w:r>
        </w:p>
      </w:tc>
    </w:tr>
    <w:tr w:rsidR="002452ED" w:rsidRPr="004F266E" w14:paraId="2F935056" w14:textId="77777777" w:rsidTr="00680C82">
      <w:trPr>
        <w:trHeight w:val="708"/>
      </w:trPr>
      <w:tc>
        <w:tcPr>
          <w:tcW w:w="5920" w:type="dxa"/>
          <w:vMerge/>
          <w:shd w:val="clear" w:color="auto" w:fill="auto"/>
        </w:tcPr>
        <w:p w14:paraId="17E589AF" w14:textId="77777777" w:rsidR="002452ED" w:rsidRPr="00374227" w:rsidRDefault="002452ED" w:rsidP="00680C82">
          <w:pPr>
            <w:pStyle w:val="Header"/>
          </w:pPr>
        </w:p>
      </w:tc>
      <w:tc>
        <w:tcPr>
          <w:tcW w:w="3260" w:type="dxa"/>
          <w:shd w:val="clear" w:color="auto" w:fill="auto"/>
          <w:vAlign w:val="center"/>
        </w:tcPr>
        <w:p w14:paraId="5BDFB0ED" w14:textId="1CDD80FA" w:rsidR="002452ED" w:rsidRPr="00374227" w:rsidRDefault="002452ED" w:rsidP="00940654">
          <w:pPr>
            <w:pStyle w:val="Header"/>
            <w:spacing w:before="60"/>
            <w:rPr>
              <w:rFonts w:ascii="Arial" w:hAnsi="Arial" w:cs="Arial"/>
              <w:b/>
              <w:szCs w:val="22"/>
            </w:rPr>
          </w:pPr>
        </w:p>
      </w:tc>
    </w:tr>
  </w:tbl>
  <w:p w14:paraId="417DBDB9" w14:textId="77777777" w:rsidR="002452ED" w:rsidRPr="0021114E" w:rsidRDefault="002452ED">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2452ED" w:rsidRDefault="002452ED" w:rsidP="00E64FBC">
    <w:pPr>
      <w:pStyle w:val="Header"/>
      <w:rPr>
        <w:sz w:val="2"/>
      </w:rPr>
    </w:pPr>
  </w:p>
  <w:p w14:paraId="20D0A9A1" w14:textId="77777777" w:rsidR="002452ED" w:rsidRDefault="002452ED"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452ED" w:rsidRPr="001D2C76" w14:paraId="181B7215" w14:textId="77777777" w:rsidTr="00084E44">
      <w:tc>
        <w:tcPr>
          <w:tcW w:w="6062" w:type="dxa"/>
          <w:vMerge w:val="restart"/>
        </w:tcPr>
        <w:p w14:paraId="00083FA3" w14:textId="77777777" w:rsidR="002452ED" w:rsidRDefault="002452ED"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2452ED" w:rsidRPr="001D2C76" w:rsidRDefault="002452ED" w:rsidP="00546D0D">
          <w:pPr>
            <w:pStyle w:val="Header"/>
            <w:rPr>
              <w:b/>
            </w:rPr>
          </w:pPr>
          <w:r>
            <w:rPr>
              <w:rFonts w:ascii="Arial" w:hAnsi="Arial" w:cs="Arial"/>
              <w:b/>
              <w:sz w:val="24"/>
              <w:szCs w:val="24"/>
            </w:rPr>
            <w:t>Meeting title</w:t>
          </w:r>
        </w:p>
      </w:tc>
    </w:tr>
    <w:tr w:rsidR="002452ED" w14:paraId="6F4CA098" w14:textId="77777777" w:rsidTr="00084E44">
      <w:trPr>
        <w:trHeight w:val="450"/>
      </w:trPr>
      <w:tc>
        <w:tcPr>
          <w:tcW w:w="6062" w:type="dxa"/>
          <w:vMerge/>
        </w:tcPr>
        <w:p w14:paraId="6FF4401B" w14:textId="77777777" w:rsidR="002452ED" w:rsidRDefault="002452ED" w:rsidP="00546D0D">
          <w:pPr>
            <w:pStyle w:val="Header"/>
          </w:pPr>
        </w:p>
      </w:tc>
      <w:tc>
        <w:tcPr>
          <w:tcW w:w="3225" w:type="dxa"/>
        </w:tcPr>
        <w:p w14:paraId="084C39A8" w14:textId="77777777" w:rsidR="002452ED" w:rsidRDefault="002452ED" w:rsidP="00546D0D">
          <w:pPr>
            <w:pStyle w:val="Header"/>
            <w:spacing w:before="60"/>
          </w:pPr>
          <w:r>
            <w:rPr>
              <w:rFonts w:ascii="Arial" w:hAnsi="Arial" w:cs="Arial"/>
              <w:sz w:val="24"/>
              <w:szCs w:val="24"/>
            </w:rPr>
            <w:t xml:space="preserve">Meeting date </w:t>
          </w:r>
        </w:p>
      </w:tc>
    </w:tr>
    <w:tr w:rsidR="002452ED" w14:paraId="20CB023A" w14:textId="77777777" w:rsidTr="00084E44">
      <w:trPr>
        <w:trHeight w:val="450"/>
      </w:trPr>
      <w:tc>
        <w:tcPr>
          <w:tcW w:w="6062" w:type="dxa"/>
          <w:vMerge/>
        </w:tcPr>
        <w:p w14:paraId="69B9DAC2" w14:textId="77777777" w:rsidR="002452ED" w:rsidRDefault="002452ED" w:rsidP="00546D0D">
          <w:pPr>
            <w:pStyle w:val="Header"/>
          </w:pPr>
        </w:p>
      </w:tc>
      <w:tc>
        <w:tcPr>
          <w:tcW w:w="3225" w:type="dxa"/>
        </w:tcPr>
        <w:p w14:paraId="1A0A21EA" w14:textId="77777777" w:rsidR="002452ED" w:rsidRDefault="002452ED" w:rsidP="00546D0D">
          <w:pPr>
            <w:pStyle w:val="Header"/>
            <w:spacing w:before="60"/>
            <w:rPr>
              <w:rFonts w:ascii="Arial" w:hAnsi="Arial" w:cs="Arial"/>
              <w:b/>
              <w:sz w:val="24"/>
              <w:szCs w:val="24"/>
            </w:rPr>
          </w:pPr>
        </w:p>
        <w:p w14:paraId="11C3D4E5" w14:textId="77777777" w:rsidR="002452ED" w:rsidRPr="00546D0D" w:rsidRDefault="002452ED"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2452ED" w:rsidRDefault="002452ED"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2452ED" w:rsidRPr="004F266E" w14:paraId="5090155C" w14:textId="77777777" w:rsidTr="00680C82">
      <w:tc>
        <w:tcPr>
          <w:tcW w:w="5920" w:type="dxa"/>
          <w:vMerge w:val="restart"/>
          <w:shd w:val="clear" w:color="auto" w:fill="auto"/>
        </w:tcPr>
        <w:p w14:paraId="26380D81" w14:textId="77777777" w:rsidR="002452ED" w:rsidRPr="00374227" w:rsidRDefault="002452ED"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7B85E764" w:rsidR="002452ED" w:rsidRPr="00374227" w:rsidRDefault="002452ED" w:rsidP="004B0FD9">
          <w:pPr>
            <w:pStyle w:val="Header"/>
            <w:rPr>
              <w:rFonts w:ascii="Arial" w:hAnsi="Arial" w:cs="Arial"/>
              <w:b/>
              <w:szCs w:val="22"/>
            </w:rPr>
          </w:pPr>
          <w:r>
            <w:rPr>
              <w:rFonts w:ascii="Arial" w:hAnsi="Arial" w:cs="Arial"/>
              <w:b/>
              <w:szCs w:val="22"/>
            </w:rPr>
            <w:t>LGA Resources Board</w:t>
          </w:r>
        </w:p>
      </w:tc>
    </w:tr>
    <w:tr w:rsidR="002452ED" w14:paraId="66494D5A" w14:textId="77777777" w:rsidTr="00680C82">
      <w:trPr>
        <w:trHeight w:val="450"/>
      </w:trPr>
      <w:tc>
        <w:tcPr>
          <w:tcW w:w="5920" w:type="dxa"/>
          <w:vMerge/>
          <w:shd w:val="clear" w:color="auto" w:fill="auto"/>
        </w:tcPr>
        <w:p w14:paraId="429043A9" w14:textId="77777777" w:rsidR="002452ED" w:rsidRPr="00374227" w:rsidRDefault="002452ED" w:rsidP="00680C82">
          <w:pPr>
            <w:pStyle w:val="Header"/>
          </w:pPr>
        </w:p>
      </w:tc>
      <w:tc>
        <w:tcPr>
          <w:tcW w:w="3260" w:type="dxa"/>
          <w:shd w:val="clear" w:color="auto" w:fill="auto"/>
          <w:vAlign w:val="center"/>
        </w:tcPr>
        <w:p w14:paraId="3380910C" w14:textId="5F8B7D01" w:rsidR="002452ED" w:rsidRPr="00374227" w:rsidRDefault="002452ED" w:rsidP="004B0FD9">
          <w:pPr>
            <w:pStyle w:val="Header"/>
            <w:spacing w:before="60"/>
            <w:rPr>
              <w:rFonts w:ascii="Arial" w:hAnsi="Arial" w:cs="Arial"/>
              <w:szCs w:val="22"/>
            </w:rPr>
          </w:pPr>
          <w:r>
            <w:rPr>
              <w:rFonts w:ascii="Arial" w:hAnsi="Arial" w:cs="Arial"/>
              <w:szCs w:val="22"/>
            </w:rPr>
            <w:t>23 September 2016</w:t>
          </w:r>
        </w:p>
      </w:tc>
    </w:tr>
    <w:tr w:rsidR="002452ED" w:rsidRPr="004F266E" w14:paraId="146443C9" w14:textId="77777777" w:rsidTr="00680C82">
      <w:trPr>
        <w:trHeight w:val="708"/>
      </w:trPr>
      <w:tc>
        <w:tcPr>
          <w:tcW w:w="5920" w:type="dxa"/>
          <w:vMerge/>
          <w:shd w:val="clear" w:color="auto" w:fill="auto"/>
        </w:tcPr>
        <w:p w14:paraId="2529674A" w14:textId="77777777" w:rsidR="002452ED" w:rsidRPr="00374227" w:rsidRDefault="002452ED" w:rsidP="00680C82">
          <w:pPr>
            <w:pStyle w:val="Header"/>
          </w:pPr>
        </w:p>
      </w:tc>
      <w:tc>
        <w:tcPr>
          <w:tcW w:w="3260" w:type="dxa"/>
          <w:shd w:val="clear" w:color="auto" w:fill="auto"/>
          <w:vAlign w:val="center"/>
        </w:tcPr>
        <w:p w14:paraId="406C4372" w14:textId="5CC3B2E7" w:rsidR="002452ED" w:rsidRPr="00374227" w:rsidRDefault="002452ED" w:rsidP="00940654">
          <w:pPr>
            <w:pStyle w:val="Header"/>
            <w:spacing w:before="60"/>
            <w:rPr>
              <w:rFonts w:ascii="Arial" w:hAnsi="Arial" w:cs="Arial"/>
              <w:b/>
              <w:szCs w:val="22"/>
            </w:rPr>
          </w:pPr>
        </w:p>
      </w:tc>
    </w:tr>
  </w:tbl>
  <w:p w14:paraId="6589218D" w14:textId="77777777" w:rsidR="002452ED" w:rsidRPr="0021114E" w:rsidRDefault="002452E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106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12AF6"/>
    <w:multiLevelType w:val="hybridMultilevel"/>
    <w:tmpl w:val="D6F64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A6CD2"/>
    <w:multiLevelType w:val="multilevel"/>
    <w:tmpl w:val="FB1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B00BA"/>
    <w:multiLevelType w:val="hybridMultilevel"/>
    <w:tmpl w:val="F80C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D7501"/>
    <w:multiLevelType w:val="hybridMultilevel"/>
    <w:tmpl w:val="F1587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9245A"/>
    <w:multiLevelType w:val="hybridMultilevel"/>
    <w:tmpl w:val="206656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862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CA4F9E"/>
    <w:multiLevelType w:val="hybridMultilevel"/>
    <w:tmpl w:val="E0246F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205791"/>
    <w:multiLevelType w:val="hybridMultilevel"/>
    <w:tmpl w:val="260CE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03363B"/>
    <w:multiLevelType w:val="multilevel"/>
    <w:tmpl w:val="8094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061A3"/>
    <w:multiLevelType w:val="hybridMultilevel"/>
    <w:tmpl w:val="C016C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73733E"/>
    <w:multiLevelType w:val="hybridMultilevel"/>
    <w:tmpl w:val="CF50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57D2"/>
    <w:multiLevelType w:val="hybridMultilevel"/>
    <w:tmpl w:val="D1B80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B47DFF"/>
    <w:multiLevelType w:val="hybridMultilevel"/>
    <w:tmpl w:val="FE12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9A6245"/>
    <w:multiLevelType w:val="hybridMultilevel"/>
    <w:tmpl w:val="7366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3"/>
  </w:num>
  <w:num w:numId="5">
    <w:abstractNumId w:val="5"/>
  </w:num>
  <w:num w:numId="6">
    <w:abstractNumId w:val="3"/>
  </w:num>
  <w:num w:numId="7">
    <w:abstractNumId w:val="14"/>
  </w:num>
  <w:num w:numId="8">
    <w:abstractNumId w:val="11"/>
  </w:num>
  <w:num w:numId="9">
    <w:abstractNumId w:val="15"/>
  </w:num>
  <w:num w:numId="10">
    <w:abstractNumId w:val="0"/>
  </w:num>
  <w:num w:numId="11">
    <w:abstractNumId w:val="2"/>
  </w:num>
  <w:num w:numId="12">
    <w:abstractNumId w:val="12"/>
  </w:num>
  <w:num w:numId="13">
    <w:abstractNumId w:val="1"/>
  </w:num>
  <w:num w:numId="14">
    <w:abstractNumId w:val="16"/>
  </w:num>
  <w:num w:numId="15">
    <w:abstractNumId w:val="17"/>
  </w:num>
  <w:num w:numId="16">
    <w:abstractNumId w:val="7"/>
  </w:num>
  <w:num w:numId="17">
    <w:abstractNumId w:val="4"/>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2FCA"/>
    <w:rsid w:val="000109D3"/>
    <w:rsid w:val="00010A80"/>
    <w:rsid w:val="00011E01"/>
    <w:rsid w:val="00014274"/>
    <w:rsid w:val="00017B1A"/>
    <w:rsid w:val="000223F1"/>
    <w:rsid w:val="00026E7D"/>
    <w:rsid w:val="000367FF"/>
    <w:rsid w:val="00043670"/>
    <w:rsid w:val="0005285D"/>
    <w:rsid w:val="000569EF"/>
    <w:rsid w:val="000607C6"/>
    <w:rsid w:val="00061956"/>
    <w:rsid w:val="000624B4"/>
    <w:rsid w:val="000745DF"/>
    <w:rsid w:val="00074691"/>
    <w:rsid w:val="000756A4"/>
    <w:rsid w:val="000819BC"/>
    <w:rsid w:val="00081B2C"/>
    <w:rsid w:val="00084E44"/>
    <w:rsid w:val="000872FF"/>
    <w:rsid w:val="00097769"/>
    <w:rsid w:val="000A1D2C"/>
    <w:rsid w:val="000A3935"/>
    <w:rsid w:val="000A4E10"/>
    <w:rsid w:val="000A7C3A"/>
    <w:rsid w:val="000A7FC2"/>
    <w:rsid w:val="000B09F5"/>
    <w:rsid w:val="000B7553"/>
    <w:rsid w:val="000C3360"/>
    <w:rsid w:val="000C52D7"/>
    <w:rsid w:val="000D2BDB"/>
    <w:rsid w:val="000D69A8"/>
    <w:rsid w:val="000D702D"/>
    <w:rsid w:val="000E5AF8"/>
    <w:rsid w:val="000E5E39"/>
    <w:rsid w:val="000F38FE"/>
    <w:rsid w:val="00100FB2"/>
    <w:rsid w:val="00100FC2"/>
    <w:rsid w:val="0010253D"/>
    <w:rsid w:val="00104A08"/>
    <w:rsid w:val="001119F2"/>
    <w:rsid w:val="00112EB4"/>
    <w:rsid w:val="00114A9F"/>
    <w:rsid w:val="001172B6"/>
    <w:rsid w:val="001224A4"/>
    <w:rsid w:val="001225A9"/>
    <w:rsid w:val="00147F29"/>
    <w:rsid w:val="00165BD0"/>
    <w:rsid w:val="00173D5A"/>
    <w:rsid w:val="0017617B"/>
    <w:rsid w:val="00180849"/>
    <w:rsid w:val="0018247C"/>
    <w:rsid w:val="00184659"/>
    <w:rsid w:val="00194FE7"/>
    <w:rsid w:val="001A07F1"/>
    <w:rsid w:val="001A7A02"/>
    <w:rsid w:val="001D0ADB"/>
    <w:rsid w:val="001D2C76"/>
    <w:rsid w:val="001D6703"/>
    <w:rsid w:val="001E476B"/>
    <w:rsid w:val="001E4CE7"/>
    <w:rsid w:val="001E526D"/>
    <w:rsid w:val="001F3A02"/>
    <w:rsid w:val="00206B87"/>
    <w:rsid w:val="0021114E"/>
    <w:rsid w:val="00215CEB"/>
    <w:rsid w:val="00215F3B"/>
    <w:rsid w:val="00221E57"/>
    <w:rsid w:val="00223F45"/>
    <w:rsid w:val="00227582"/>
    <w:rsid w:val="002414C2"/>
    <w:rsid w:val="002452ED"/>
    <w:rsid w:val="00254DF4"/>
    <w:rsid w:val="002635AC"/>
    <w:rsid w:val="002723CE"/>
    <w:rsid w:val="0029446B"/>
    <w:rsid w:val="002A0C7D"/>
    <w:rsid w:val="002A0D9E"/>
    <w:rsid w:val="002B14C4"/>
    <w:rsid w:val="002B2786"/>
    <w:rsid w:val="002B5FCA"/>
    <w:rsid w:val="002D0658"/>
    <w:rsid w:val="002D7AFA"/>
    <w:rsid w:val="002E3C00"/>
    <w:rsid w:val="002E6C01"/>
    <w:rsid w:val="002F15DD"/>
    <w:rsid w:val="00300449"/>
    <w:rsid w:val="00302667"/>
    <w:rsid w:val="00305049"/>
    <w:rsid w:val="00310C18"/>
    <w:rsid w:val="00317BEA"/>
    <w:rsid w:val="00324E86"/>
    <w:rsid w:val="0035235A"/>
    <w:rsid w:val="00363ED4"/>
    <w:rsid w:val="00372DE6"/>
    <w:rsid w:val="00373AAF"/>
    <w:rsid w:val="00386F0A"/>
    <w:rsid w:val="003978FB"/>
    <w:rsid w:val="003B31F5"/>
    <w:rsid w:val="003C0DCB"/>
    <w:rsid w:val="003C77A8"/>
    <w:rsid w:val="003E20D5"/>
    <w:rsid w:val="003E4825"/>
    <w:rsid w:val="003E4B3E"/>
    <w:rsid w:val="00403514"/>
    <w:rsid w:val="0041006B"/>
    <w:rsid w:val="00414273"/>
    <w:rsid w:val="0042168F"/>
    <w:rsid w:val="00435D57"/>
    <w:rsid w:val="004401AF"/>
    <w:rsid w:val="00444C86"/>
    <w:rsid w:val="00445534"/>
    <w:rsid w:val="00446BFD"/>
    <w:rsid w:val="00472CD5"/>
    <w:rsid w:val="00481354"/>
    <w:rsid w:val="004B0FD9"/>
    <w:rsid w:val="004B27D6"/>
    <w:rsid w:val="004D36F3"/>
    <w:rsid w:val="004D6E27"/>
    <w:rsid w:val="004E65AE"/>
    <w:rsid w:val="004F0888"/>
    <w:rsid w:val="004F12FE"/>
    <w:rsid w:val="004F45D8"/>
    <w:rsid w:val="004F65EA"/>
    <w:rsid w:val="005061CA"/>
    <w:rsid w:val="005079B4"/>
    <w:rsid w:val="0051395F"/>
    <w:rsid w:val="0051496C"/>
    <w:rsid w:val="0051688C"/>
    <w:rsid w:val="00540228"/>
    <w:rsid w:val="00544DA9"/>
    <w:rsid w:val="00546D0D"/>
    <w:rsid w:val="005563BE"/>
    <w:rsid w:val="005711A4"/>
    <w:rsid w:val="00574F05"/>
    <w:rsid w:val="00575EED"/>
    <w:rsid w:val="00591595"/>
    <w:rsid w:val="005A0189"/>
    <w:rsid w:val="005A4917"/>
    <w:rsid w:val="005A7E46"/>
    <w:rsid w:val="005B3508"/>
    <w:rsid w:val="005B6237"/>
    <w:rsid w:val="005D370B"/>
    <w:rsid w:val="005E0BCD"/>
    <w:rsid w:val="005E38A9"/>
    <w:rsid w:val="005F0364"/>
    <w:rsid w:val="005F364F"/>
    <w:rsid w:val="00601A2D"/>
    <w:rsid w:val="00604A2D"/>
    <w:rsid w:val="006137EA"/>
    <w:rsid w:val="006138E3"/>
    <w:rsid w:val="00616455"/>
    <w:rsid w:val="00617B72"/>
    <w:rsid w:val="0062371F"/>
    <w:rsid w:val="00634A95"/>
    <w:rsid w:val="00641F41"/>
    <w:rsid w:val="00643DD7"/>
    <w:rsid w:val="006448E1"/>
    <w:rsid w:val="00646A98"/>
    <w:rsid w:val="00650936"/>
    <w:rsid w:val="00653432"/>
    <w:rsid w:val="00654832"/>
    <w:rsid w:val="00664375"/>
    <w:rsid w:val="00670623"/>
    <w:rsid w:val="006753EE"/>
    <w:rsid w:val="00680C82"/>
    <w:rsid w:val="0068428D"/>
    <w:rsid w:val="006A0E31"/>
    <w:rsid w:val="006A5793"/>
    <w:rsid w:val="006A5B68"/>
    <w:rsid w:val="006B28C9"/>
    <w:rsid w:val="006B4E36"/>
    <w:rsid w:val="006C33DB"/>
    <w:rsid w:val="006C5A28"/>
    <w:rsid w:val="006C5D3C"/>
    <w:rsid w:val="006C6FAD"/>
    <w:rsid w:val="006D53BB"/>
    <w:rsid w:val="006D6881"/>
    <w:rsid w:val="006F0CCB"/>
    <w:rsid w:val="006F74E0"/>
    <w:rsid w:val="0070192D"/>
    <w:rsid w:val="00706B9A"/>
    <w:rsid w:val="00706D3A"/>
    <w:rsid w:val="0071059E"/>
    <w:rsid w:val="00711FFB"/>
    <w:rsid w:val="007415D5"/>
    <w:rsid w:val="00742F4B"/>
    <w:rsid w:val="007629F7"/>
    <w:rsid w:val="007640B3"/>
    <w:rsid w:val="007670B0"/>
    <w:rsid w:val="00767A85"/>
    <w:rsid w:val="00786202"/>
    <w:rsid w:val="007902E4"/>
    <w:rsid w:val="0079534B"/>
    <w:rsid w:val="007A063E"/>
    <w:rsid w:val="007A3EFE"/>
    <w:rsid w:val="007B0E65"/>
    <w:rsid w:val="007B7A0E"/>
    <w:rsid w:val="007B7C29"/>
    <w:rsid w:val="007C1849"/>
    <w:rsid w:val="007C2814"/>
    <w:rsid w:val="007C2BC2"/>
    <w:rsid w:val="007D1F1F"/>
    <w:rsid w:val="007E2685"/>
    <w:rsid w:val="007F248F"/>
    <w:rsid w:val="007F24E8"/>
    <w:rsid w:val="007F50AB"/>
    <w:rsid w:val="007F680A"/>
    <w:rsid w:val="00801F9C"/>
    <w:rsid w:val="00817CAA"/>
    <w:rsid w:val="00841710"/>
    <w:rsid w:val="0084749A"/>
    <w:rsid w:val="008518BC"/>
    <w:rsid w:val="00860C8D"/>
    <w:rsid w:val="00866141"/>
    <w:rsid w:val="008673D4"/>
    <w:rsid w:val="0087174A"/>
    <w:rsid w:val="0087546A"/>
    <w:rsid w:val="008772F4"/>
    <w:rsid w:val="00892C5A"/>
    <w:rsid w:val="00893E53"/>
    <w:rsid w:val="008A1AF7"/>
    <w:rsid w:val="008A1B78"/>
    <w:rsid w:val="008A53CB"/>
    <w:rsid w:val="008B1A3E"/>
    <w:rsid w:val="008C3AFD"/>
    <w:rsid w:val="008C600B"/>
    <w:rsid w:val="008D1B23"/>
    <w:rsid w:val="008D1D62"/>
    <w:rsid w:val="008D332D"/>
    <w:rsid w:val="008E087E"/>
    <w:rsid w:val="008E5AE8"/>
    <w:rsid w:val="008F339D"/>
    <w:rsid w:val="008F3A81"/>
    <w:rsid w:val="008F3C22"/>
    <w:rsid w:val="008F78E9"/>
    <w:rsid w:val="00905EA5"/>
    <w:rsid w:val="009060A8"/>
    <w:rsid w:val="00914A91"/>
    <w:rsid w:val="0092710B"/>
    <w:rsid w:val="00931696"/>
    <w:rsid w:val="00931FA5"/>
    <w:rsid w:val="00940654"/>
    <w:rsid w:val="0094468C"/>
    <w:rsid w:val="00962661"/>
    <w:rsid w:val="00965CD7"/>
    <w:rsid w:val="00966065"/>
    <w:rsid w:val="00967F3E"/>
    <w:rsid w:val="00982B41"/>
    <w:rsid w:val="009833CA"/>
    <w:rsid w:val="009866E3"/>
    <w:rsid w:val="009955AD"/>
    <w:rsid w:val="009B0968"/>
    <w:rsid w:val="009B5B7E"/>
    <w:rsid w:val="009C2119"/>
    <w:rsid w:val="009C64BE"/>
    <w:rsid w:val="009C7622"/>
    <w:rsid w:val="009C799F"/>
    <w:rsid w:val="009D0C9D"/>
    <w:rsid w:val="009D5D4A"/>
    <w:rsid w:val="009D6157"/>
    <w:rsid w:val="009E17B8"/>
    <w:rsid w:val="009E3FAC"/>
    <w:rsid w:val="009E64CF"/>
    <w:rsid w:val="00A05560"/>
    <w:rsid w:val="00A05A24"/>
    <w:rsid w:val="00A11170"/>
    <w:rsid w:val="00A17225"/>
    <w:rsid w:val="00A35C3D"/>
    <w:rsid w:val="00A41125"/>
    <w:rsid w:val="00A457C9"/>
    <w:rsid w:val="00A601EC"/>
    <w:rsid w:val="00A64607"/>
    <w:rsid w:val="00A67E0E"/>
    <w:rsid w:val="00A71CD2"/>
    <w:rsid w:val="00A75FCA"/>
    <w:rsid w:val="00A7644D"/>
    <w:rsid w:val="00A7786B"/>
    <w:rsid w:val="00A84619"/>
    <w:rsid w:val="00A9189F"/>
    <w:rsid w:val="00A92B0D"/>
    <w:rsid w:val="00A92B3B"/>
    <w:rsid w:val="00A9342C"/>
    <w:rsid w:val="00A953F4"/>
    <w:rsid w:val="00A96708"/>
    <w:rsid w:val="00AA413F"/>
    <w:rsid w:val="00AA4971"/>
    <w:rsid w:val="00AA5C07"/>
    <w:rsid w:val="00AA5F72"/>
    <w:rsid w:val="00AA6C37"/>
    <w:rsid w:val="00AA6F4D"/>
    <w:rsid w:val="00AF2007"/>
    <w:rsid w:val="00B0159A"/>
    <w:rsid w:val="00B042E2"/>
    <w:rsid w:val="00B162A5"/>
    <w:rsid w:val="00B20C53"/>
    <w:rsid w:val="00B31C1A"/>
    <w:rsid w:val="00B31E7B"/>
    <w:rsid w:val="00B43083"/>
    <w:rsid w:val="00B44D0C"/>
    <w:rsid w:val="00B4673A"/>
    <w:rsid w:val="00B51B1C"/>
    <w:rsid w:val="00B52DBB"/>
    <w:rsid w:val="00B5364D"/>
    <w:rsid w:val="00B62101"/>
    <w:rsid w:val="00B63F0D"/>
    <w:rsid w:val="00B668B0"/>
    <w:rsid w:val="00B67071"/>
    <w:rsid w:val="00B707C1"/>
    <w:rsid w:val="00B7585E"/>
    <w:rsid w:val="00B809C7"/>
    <w:rsid w:val="00B86A97"/>
    <w:rsid w:val="00BA4B39"/>
    <w:rsid w:val="00BA5509"/>
    <w:rsid w:val="00BA600D"/>
    <w:rsid w:val="00BB212B"/>
    <w:rsid w:val="00BC0F7D"/>
    <w:rsid w:val="00BC1B31"/>
    <w:rsid w:val="00BC3B14"/>
    <w:rsid w:val="00BC3B9F"/>
    <w:rsid w:val="00BD4D88"/>
    <w:rsid w:val="00BE1A18"/>
    <w:rsid w:val="00BE232F"/>
    <w:rsid w:val="00BF4F9E"/>
    <w:rsid w:val="00C17D73"/>
    <w:rsid w:val="00C21FC8"/>
    <w:rsid w:val="00C26361"/>
    <w:rsid w:val="00C342FB"/>
    <w:rsid w:val="00C36EBD"/>
    <w:rsid w:val="00C47E09"/>
    <w:rsid w:val="00C56860"/>
    <w:rsid w:val="00C56D09"/>
    <w:rsid w:val="00C63BF4"/>
    <w:rsid w:val="00C750DB"/>
    <w:rsid w:val="00C82C83"/>
    <w:rsid w:val="00C87ADF"/>
    <w:rsid w:val="00C91C5F"/>
    <w:rsid w:val="00C9258A"/>
    <w:rsid w:val="00CA1498"/>
    <w:rsid w:val="00CA2285"/>
    <w:rsid w:val="00CC0245"/>
    <w:rsid w:val="00CD0C11"/>
    <w:rsid w:val="00CD5BA9"/>
    <w:rsid w:val="00CD6013"/>
    <w:rsid w:val="00CE2310"/>
    <w:rsid w:val="00D00ABF"/>
    <w:rsid w:val="00D06E32"/>
    <w:rsid w:val="00D12FE4"/>
    <w:rsid w:val="00D1779A"/>
    <w:rsid w:val="00D2189F"/>
    <w:rsid w:val="00D22013"/>
    <w:rsid w:val="00D31525"/>
    <w:rsid w:val="00D34B67"/>
    <w:rsid w:val="00D43070"/>
    <w:rsid w:val="00D472F1"/>
    <w:rsid w:val="00D5182C"/>
    <w:rsid w:val="00D576E2"/>
    <w:rsid w:val="00D620BE"/>
    <w:rsid w:val="00D66905"/>
    <w:rsid w:val="00D77253"/>
    <w:rsid w:val="00D80436"/>
    <w:rsid w:val="00D84788"/>
    <w:rsid w:val="00D903DC"/>
    <w:rsid w:val="00DA0169"/>
    <w:rsid w:val="00DA0183"/>
    <w:rsid w:val="00DB2CA3"/>
    <w:rsid w:val="00DC0CEA"/>
    <w:rsid w:val="00DC40DF"/>
    <w:rsid w:val="00DD666C"/>
    <w:rsid w:val="00DD7640"/>
    <w:rsid w:val="00DF11AC"/>
    <w:rsid w:val="00E11424"/>
    <w:rsid w:val="00E158A7"/>
    <w:rsid w:val="00E23082"/>
    <w:rsid w:val="00E27467"/>
    <w:rsid w:val="00E354E5"/>
    <w:rsid w:val="00E4011A"/>
    <w:rsid w:val="00E40B9D"/>
    <w:rsid w:val="00E44300"/>
    <w:rsid w:val="00E52D8B"/>
    <w:rsid w:val="00E54207"/>
    <w:rsid w:val="00E62BF4"/>
    <w:rsid w:val="00E64FBC"/>
    <w:rsid w:val="00E650C7"/>
    <w:rsid w:val="00E664CD"/>
    <w:rsid w:val="00E76C4A"/>
    <w:rsid w:val="00E7710E"/>
    <w:rsid w:val="00E81D1E"/>
    <w:rsid w:val="00E83EB8"/>
    <w:rsid w:val="00E84B8B"/>
    <w:rsid w:val="00EA1E42"/>
    <w:rsid w:val="00EB1237"/>
    <w:rsid w:val="00EC0400"/>
    <w:rsid w:val="00ED1266"/>
    <w:rsid w:val="00ED15CD"/>
    <w:rsid w:val="00EE6097"/>
    <w:rsid w:val="00EE637C"/>
    <w:rsid w:val="00EF6198"/>
    <w:rsid w:val="00F0126F"/>
    <w:rsid w:val="00F23B3B"/>
    <w:rsid w:val="00F43EFC"/>
    <w:rsid w:val="00F44F92"/>
    <w:rsid w:val="00F56C53"/>
    <w:rsid w:val="00F6257D"/>
    <w:rsid w:val="00F6338C"/>
    <w:rsid w:val="00F6671D"/>
    <w:rsid w:val="00F668D3"/>
    <w:rsid w:val="00F66928"/>
    <w:rsid w:val="00F70528"/>
    <w:rsid w:val="00F74F32"/>
    <w:rsid w:val="00F76C5F"/>
    <w:rsid w:val="00F77051"/>
    <w:rsid w:val="00F83C7A"/>
    <w:rsid w:val="00F866E4"/>
    <w:rsid w:val="00F95A3A"/>
    <w:rsid w:val="00F95CE6"/>
    <w:rsid w:val="00F9673D"/>
    <w:rsid w:val="00FA26F5"/>
    <w:rsid w:val="00FB06EB"/>
    <w:rsid w:val="00FB080C"/>
    <w:rsid w:val="00FB295D"/>
    <w:rsid w:val="00FB7F7C"/>
    <w:rsid w:val="00FC306B"/>
    <w:rsid w:val="00FC4CDF"/>
    <w:rsid w:val="00FC7FAC"/>
    <w:rsid w:val="00FE181A"/>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ListBullet">
    <w:name w:val="List Bullet"/>
    <w:basedOn w:val="Normal"/>
    <w:unhideWhenUsed/>
    <w:rsid w:val="004D6E27"/>
    <w:pPr>
      <w:numPr>
        <w:numId w:val="10"/>
      </w:numPr>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5182C"/>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45244">
      <w:bodyDiv w:val="1"/>
      <w:marLeft w:val="0"/>
      <w:marRight w:val="0"/>
      <w:marTop w:val="0"/>
      <w:marBottom w:val="0"/>
      <w:divBdr>
        <w:top w:val="none" w:sz="0" w:space="0" w:color="auto"/>
        <w:left w:val="none" w:sz="0" w:space="0" w:color="auto"/>
        <w:bottom w:val="none" w:sz="0" w:space="0" w:color="auto"/>
        <w:right w:val="none" w:sz="0" w:space="0" w:color="auto"/>
      </w:divBdr>
    </w:div>
    <w:div w:id="749035531">
      <w:bodyDiv w:val="1"/>
      <w:marLeft w:val="0"/>
      <w:marRight w:val="0"/>
      <w:marTop w:val="0"/>
      <w:marBottom w:val="0"/>
      <w:divBdr>
        <w:top w:val="none" w:sz="0" w:space="0" w:color="auto"/>
        <w:left w:val="none" w:sz="0" w:space="0" w:color="auto"/>
        <w:bottom w:val="none" w:sz="0" w:space="0" w:color="auto"/>
        <w:right w:val="none" w:sz="0" w:space="0" w:color="auto"/>
      </w:divBdr>
      <w:divsChild>
        <w:div w:id="1611621888">
          <w:marLeft w:val="0"/>
          <w:marRight w:val="0"/>
          <w:marTop w:val="0"/>
          <w:marBottom w:val="0"/>
          <w:divBdr>
            <w:top w:val="none" w:sz="0" w:space="0" w:color="auto"/>
            <w:left w:val="none" w:sz="0" w:space="0" w:color="auto"/>
            <w:bottom w:val="none" w:sz="0" w:space="0" w:color="auto"/>
            <w:right w:val="none" w:sz="0" w:space="0" w:color="auto"/>
          </w:divBdr>
          <w:divsChild>
            <w:div w:id="464278196">
              <w:marLeft w:val="0"/>
              <w:marRight w:val="0"/>
              <w:marTop w:val="0"/>
              <w:marBottom w:val="0"/>
              <w:divBdr>
                <w:top w:val="none" w:sz="0" w:space="0" w:color="auto"/>
                <w:left w:val="none" w:sz="0" w:space="0" w:color="auto"/>
                <w:bottom w:val="none" w:sz="0" w:space="0" w:color="auto"/>
                <w:right w:val="none" w:sz="0" w:space="0" w:color="auto"/>
              </w:divBdr>
              <w:divsChild>
                <w:div w:id="733047332">
                  <w:marLeft w:val="0"/>
                  <w:marRight w:val="0"/>
                  <w:marTop w:val="0"/>
                  <w:marBottom w:val="0"/>
                  <w:divBdr>
                    <w:top w:val="none" w:sz="0" w:space="0" w:color="auto"/>
                    <w:left w:val="none" w:sz="0" w:space="0" w:color="auto"/>
                    <w:bottom w:val="none" w:sz="0" w:space="0" w:color="auto"/>
                    <w:right w:val="none" w:sz="0" w:space="0" w:color="auto"/>
                  </w:divBdr>
                  <w:divsChild>
                    <w:div w:id="7027771">
                      <w:marLeft w:val="0"/>
                      <w:marRight w:val="0"/>
                      <w:marTop w:val="0"/>
                      <w:marBottom w:val="0"/>
                      <w:divBdr>
                        <w:top w:val="none" w:sz="0" w:space="0" w:color="auto"/>
                        <w:left w:val="none" w:sz="0" w:space="0" w:color="auto"/>
                        <w:bottom w:val="none" w:sz="0" w:space="0" w:color="auto"/>
                        <w:right w:val="none" w:sz="0" w:space="0" w:color="auto"/>
                      </w:divBdr>
                      <w:divsChild>
                        <w:div w:id="1733389943">
                          <w:marLeft w:val="0"/>
                          <w:marRight w:val="0"/>
                          <w:marTop w:val="0"/>
                          <w:marBottom w:val="0"/>
                          <w:divBdr>
                            <w:top w:val="none" w:sz="0" w:space="0" w:color="auto"/>
                            <w:left w:val="none" w:sz="0" w:space="0" w:color="auto"/>
                            <w:bottom w:val="none" w:sz="0" w:space="0" w:color="auto"/>
                            <w:right w:val="none" w:sz="0" w:space="0" w:color="auto"/>
                          </w:divBdr>
                          <w:divsChild>
                            <w:div w:id="1123577816">
                              <w:marLeft w:val="0"/>
                              <w:marRight w:val="0"/>
                              <w:marTop w:val="0"/>
                              <w:marBottom w:val="0"/>
                              <w:divBdr>
                                <w:top w:val="none" w:sz="0" w:space="0" w:color="auto"/>
                                <w:left w:val="none" w:sz="0" w:space="0" w:color="auto"/>
                                <w:bottom w:val="none" w:sz="0" w:space="0" w:color="auto"/>
                                <w:right w:val="none" w:sz="0" w:space="0" w:color="auto"/>
                              </w:divBdr>
                              <w:divsChild>
                                <w:div w:id="488711496">
                                  <w:marLeft w:val="0"/>
                                  <w:marRight w:val="0"/>
                                  <w:marTop w:val="0"/>
                                  <w:marBottom w:val="0"/>
                                  <w:divBdr>
                                    <w:top w:val="none" w:sz="0" w:space="0" w:color="auto"/>
                                    <w:left w:val="none" w:sz="0" w:space="0" w:color="auto"/>
                                    <w:bottom w:val="none" w:sz="0" w:space="0" w:color="auto"/>
                                    <w:right w:val="none" w:sz="0" w:space="0" w:color="auto"/>
                                  </w:divBdr>
                                  <w:divsChild>
                                    <w:div w:id="1363895938">
                                      <w:marLeft w:val="0"/>
                                      <w:marRight w:val="0"/>
                                      <w:marTop w:val="0"/>
                                      <w:marBottom w:val="0"/>
                                      <w:divBdr>
                                        <w:top w:val="none" w:sz="0" w:space="0" w:color="auto"/>
                                        <w:left w:val="none" w:sz="0" w:space="0" w:color="auto"/>
                                        <w:bottom w:val="none" w:sz="0" w:space="0" w:color="auto"/>
                                        <w:right w:val="none" w:sz="0" w:space="0" w:color="auto"/>
                                      </w:divBdr>
                                      <w:divsChild>
                                        <w:div w:id="466240382">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147687">
      <w:bodyDiv w:val="1"/>
      <w:marLeft w:val="0"/>
      <w:marRight w:val="0"/>
      <w:marTop w:val="0"/>
      <w:marBottom w:val="0"/>
      <w:divBdr>
        <w:top w:val="none" w:sz="0" w:space="0" w:color="auto"/>
        <w:left w:val="none" w:sz="0" w:space="0" w:color="auto"/>
        <w:bottom w:val="none" w:sz="0" w:space="0" w:color="auto"/>
        <w:right w:val="none" w:sz="0" w:space="0" w:color="auto"/>
      </w:divBdr>
      <w:divsChild>
        <w:div w:id="732043580">
          <w:marLeft w:val="0"/>
          <w:marRight w:val="0"/>
          <w:marTop w:val="0"/>
          <w:marBottom w:val="0"/>
          <w:divBdr>
            <w:top w:val="none" w:sz="0" w:space="0" w:color="auto"/>
            <w:left w:val="none" w:sz="0" w:space="0" w:color="auto"/>
            <w:bottom w:val="none" w:sz="0" w:space="0" w:color="auto"/>
            <w:right w:val="none" w:sz="0" w:space="0" w:color="auto"/>
          </w:divBdr>
          <w:divsChild>
            <w:div w:id="807162600">
              <w:marLeft w:val="0"/>
              <w:marRight w:val="0"/>
              <w:marTop w:val="0"/>
              <w:marBottom w:val="0"/>
              <w:divBdr>
                <w:top w:val="none" w:sz="0" w:space="0" w:color="auto"/>
                <w:left w:val="none" w:sz="0" w:space="0" w:color="auto"/>
                <w:bottom w:val="none" w:sz="0" w:space="0" w:color="auto"/>
                <w:right w:val="none" w:sz="0" w:space="0" w:color="auto"/>
              </w:divBdr>
              <w:divsChild>
                <w:div w:id="1146170005">
                  <w:marLeft w:val="0"/>
                  <w:marRight w:val="0"/>
                  <w:marTop w:val="0"/>
                  <w:marBottom w:val="0"/>
                  <w:divBdr>
                    <w:top w:val="none" w:sz="0" w:space="0" w:color="auto"/>
                    <w:left w:val="none" w:sz="0" w:space="0" w:color="auto"/>
                    <w:bottom w:val="none" w:sz="0" w:space="0" w:color="auto"/>
                    <w:right w:val="none" w:sz="0" w:space="0" w:color="auto"/>
                  </w:divBdr>
                  <w:divsChild>
                    <w:div w:id="1637569737">
                      <w:marLeft w:val="0"/>
                      <w:marRight w:val="0"/>
                      <w:marTop w:val="0"/>
                      <w:marBottom w:val="0"/>
                      <w:divBdr>
                        <w:top w:val="none" w:sz="0" w:space="0" w:color="auto"/>
                        <w:left w:val="none" w:sz="0" w:space="0" w:color="auto"/>
                        <w:bottom w:val="none" w:sz="0" w:space="0" w:color="auto"/>
                        <w:right w:val="none" w:sz="0" w:space="0" w:color="auto"/>
                      </w:divBdr>
                      <w:divsChild>
                        <w:div w:id="1907490895">
                          <w:marLeft w:val="0"/>
                          <w:marRight w:val="0"/>
                          <w:marTop w:val="0"/>
                          <w:marBottom w:val="0"/>
                          <w:divBdr>
                            <w:top w:val="none" w:sz="0" w:space="0" w:color="auto"/>
                            <w:left w:val="none" w:sz="0" w:space="0" w:color="auto"/>
                            <w:bottom w:val="none" w:sz="0" w:space="0" w:color="auto"/>
                            <w:right w:val="none" w:sz="0" w:space="0" w:color="auto"/>
                          </w:divBdr>
                          <w:divsChild>
                            <w:div w:id="832452555">
                              <w:marLeft w:val="0"/>
                              <w:marRight w:val="0"/>
                              <w:marTop w:val="0"/>
                              <w:marBottom w:val="0"/>
                              <w:divBdr>
                                <w:top w:val="none" w:sz="0" w:space="0" w:color="auto"/>
                                <w:left w:val="none" w:sz="0" w:space="0" w:color="auto"/>
                                <w:bottom w:val="none" w:sz="0" w:space="0" w:color="auto"/>
                                <w:right w:val="none" w:sz="0" w:space="0" w:color="auto"/>
                              </w:divBdr>
                              <w:divsChild>
                                <w:div w:id="163671763">
                                  <w:marLeft w:val="0"/>
                                  <w:marRight w:val="0"/>
                                  <w:marTop w:val="0"/>
                                  <w:marBottom w:val="0"/>
                                  <w:divBdr>
                                    <w:top w:val="none" w:sz="0" w:space="0" w:color="auto"/>
                                    <w:left w:val="none" w:sz="0" w:space="0" w:color="auto"/>
                                    <w:bottom w:val="none" w:sz="0" w:space="0" w:color="auto"/>
                                    <w:right w:val="none" w:sz="0" w:space="0" w:color="auto"/>
                                  </w:divBdr>
                                  <w:divsChild>
                                    <w:div w:id="441076768">
                                      <w:marLeft w:val="0"/>
                                      <w:marRight w:val="0"/>
                                      <w:marTop w:val="0"/>
                                      <w:marBottom w:val="0"/>
                                      <w:divBdr>
                                        <w:top w:val="none" w:sz="0" w:space="0" w:color="auto"/>
                                        <w:left w:val="none" w:sz="0" w:space="0" w:color="auto"/>
                                        <w:bottom w:val="none" w:sz="0" w:space="0" w:color="auto"/>
                                        <w:right w:val="none" w:sz="0" w:space="0" w:color="auto"/>
                                      </w:divBdr>
                                      <w:divsChild>
                                        <w:div w:id="1101998167">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647472883">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hyperlink" Target="https://www.gov.uk/government/consultations/local-government-finance-settlement-2017-to-2018-technical-consult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ADDF-FB9B-40EF-BCC5-18875901F4B0}">
  <ds:schemaRef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3.xml><?xml version="1.0" encoding="utf-8"?>
<ds:datastoreItem xmlns:ds="http://schemas.openxmlformats.org/officeDocument/2006/customXml" ds:itemID="{B26943E1-217E-4262-8139-D6296D2E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3D6F49-467F-4D91-B910-CB6641F3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E3CC87C0</Template>
  <TotalTime>7</TotalTime>
  <Pages>5</Pages>
  <Words>1385</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Ciaran Whitehead</cp:lastModifiedBy>
  <cp:revision>8</cp:revision>
  <cp:lastPrinted>2016-07-07T13:15:00Z</cp:lastPrinted>
  <dcterms:created xsi:type="dcterms:W3CDTF">2016-09-16T14:51:00Z</dcterms:created>
  <dcterms:modified xsi:type="dcterms:W3CDTF">2016-09-16T16:48:00Z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0x010100A4A6CCB8EEC57D41A6C2D288F44F73FE</vt:lpwstr>
  </property>
</Properties>
</file>